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DB9447" w14:textId="77777777" w:rsidR="009A583D" w:rsidRPr="00E02B79" w:rsidRDefault="009A583D" w:rsidP="009A583D">
      <w:pPr>
        <w:pStyle w:val="Heading1"/>
        <w:rPr>
          <w:rFonts w:cs="Times New Roman"/>
          <w:sz w:val="24"/>
          <w:szCs w:val="24"/>
        </w:rPr>
      </w:pPr>
      <w:bookmarkStart w:id="0" w:name="_Toc16539524"/>
      <w:bookmarkStart w:id="1" w:name="_GoBack"/>
      <w:bookmarkEnd w:id="1"/>
      <w:r w:rsidRPr="00E02B79">
        <w:rPr>
          <w:rFonts w:cs="Times New Roman"/>
          <w:sz w:val="24"/>
          <w:szCs w:val="24"/>
        </w:rPr>
        <w:softHyphen/>
        <w:t>Title</w:t>
      </w:r>
    </w:p>
    <w:p w14:paraId="14D44349" w14:textId="77777777" w:rsidR="009A583D" w:rsidRPr="00E02B79" w:rsidRDefault="009A583D" w:rsidP="009A583D">
      <w:r w:rsidRPr="00E02B79">
        <w:t>Factors predicting alcohol consumption in adolescents attending a faith-based school system in Australia: A multi-group structural equation analysis.</w:t>
      </w:r>
    </w:p>
    <w:p w14:paraId="2E25F2AE" w14:textId="61785F2A" w:rsidR="009A583D" w:rsidRDefault="009A583D" w:rsidP="009A583D"/>
    <w:p w14:paraId="61E7C7F1" w14:textId="13EE41CB" w:rsidR="009A583D" w:rsidRDefault="009A583D" w:rsidP="009A583D"/>
    <w:p w14:paraId="365EC909" w14:textId="6D533243" w:rsidR="009A583D" w:rsidRDefault="009A583D" w:rsidP="009A583D"/>
    <w:p w14:paraId="2BBC25EF" w14:textId="6C080362" w:rsidR="009A583D" w:rsidRDefault="009A583D" w:rsidP="009A583D"/>
    <w:p w14:paraId="0A76C456" w14:textId="0956C2EE" w:rsidR="009A583D" w:rsidRDefault="009A583D" w:rsidP="009A583D"/>
    <w:p w14:paraId="6080D3F7" w14:textId="49508AB7" w:rsidR="009A583D" w:rsidRDefault="009A583D" w:rsidP="009A583D"/>
    <w:p w14:paraId="31E65C1B" w14:textId="6D68588A" w:rsidR="009A583D" w:rsidRDefault="009A583D" w:rsidP="009A583D"/>
    <w:p w14:paraId="57199314" w14:textId="0B2C444E" w:rsidR="009A583D" w:rsidRDefault="009A583D" w:rsidP="009A583D"/>
    <w:p w14:paraId="3C45163D" w14:textId="4172FAF3" w:rsidR="009A583D" w:rsidRDefault="009A583D" w:rsidP="009A583D"/>
    <w:p w14:paraId="73121F7B" w14:textId="194E9E68" w:rsidR="009A583D" w:rsidRDefault="009A583D" w:rsidP="009A583D"/>
    <w:p w14:paraId="781FC4D5" w14:textId="75CF2366" w:rsidR="009A583D" w:rsidRDefault="009A583D" w:rsidP="009A583D"/>
    <w:p w14:paraId="268E025B" w14:textId="30FD321A" w:rsidR="009A583D" w:rsidRDefault="009A583D" w:rsidP="009A583D"/>
    <w:p w14:paraId="7C77EF80" w14:textId="202BFC76" w:rsidR="009A583D" w:rsidRDefault="009A583D" w:rsidP="009A583D"/>
    <w:p w14:paraId="5280F130" w14:textId="37B1B2BA" w:rsidR="009A583D" w:rsidRDefault="009A583D" w:rsidP="009A583D"/>
    <w:p w14:paraId="3CC28B06" w14:textId="77777777" w:rsidR="009A583D" w:rsidRPr="00E02B79" w:rsidRDefault="009A583D" w:rsidP="009A583D">
      <w:pPr>
        <w:pStyle w:val="Heading1"/>
        <w:rPr>
          <w:rFonts w:cs="Times New Roman"/>
          <w:sz w:val="24"/>
          <w:szCs w:val="24"/>
        </w:rPr>
      </w:pPr>
      <w:r w:rsidRPr="00E02B79">
        <w:rPr>
          <w:rFonts w:cs="Times New Roman"/>
          <w:sz w:val="24"/>
          <w:szCs w:val="24"/>
        </w:rPr>
        <w:lastRenderedPageBreak/>
        <w:t>Abstract</w:t>
      </w:r>
    </w:p>
    <w:p w14:paraId="0E5C4491" w14:textId="77777777" w:rsidR="009A583D" w:rsidRPr="00E02B79" w:rsidRDefault="009A583D" w:rsidP="009A583D">
      <w:r w:rsidRPr="00E02B79">
        <w:t xml:space="preserve">Structural equation modelling was used to explore the direct and indirect association of childhood experiences, attitudes, subjective norms and intentions on the alcohol consumption </w:t>
      </w:r>
      <w:r w:rsidRPr="00E02B79">
        <w:rPr>
          <w:rFonts w:eastAsiaTheme="majorEastAsia"/>
          <w:bCs/>
        </w:rPr>
        <w:t xml:space="preserve">of adolescents attending faith-based </w:t>
      </w:r>
      <w:r w:rsidRPr="003978CD">
        <w:rPr>
          <w:rFonts w:eastAsiaTheme="majorEastAsia"/>
          <w:bCs/>
          <w:highlight w:val="yellow"/>
        </w:rPr>
        <w:t>Seventh-day Adventist schools</w:t>
      </w:r>
      <w:r w:rsidRPr="00E02B79">
        <w:rPr>
          <w:rFonts w:eastAsiaTheme="majorEastAsia"/>
          <w:bCs/>
        </w:rPr>
        <w:t xml:space="preserve"> in Australia</w:t>
      </w:r>
      <w:r w:rsidRPr="00E02B79">
        <w:t>. Data were collected on 1266 adolescents and the structural model developed explained 48% of the variance for alcohol consumption. Intentions had the highest degree of association with Alcohol Consumption Status (ACS) (β = 0.52). Attitudes were more strongly associated to ACS (β</w:t>
      </w:r>
      <w:r w:rsidRPr="00E02B79">
        <w:rPr>
          <w:vertAlign w:val="subscript"/>
        </w:rPr>
        <w:t>total</w:t>
      </w:r>
      <w:r w:rsidRPr="00E02B79">
        <w:t xml:space="preserve"> = 0.36) than subjective norms (β</w:t>
      </w:r>
      <w:r w:rsidRPr="00E02B79">
        <w:rPr>
          <w:vertAlign w:val="subscript"/>
        </w:rPr>
        <w:t>total</w:t>
      </w:r>
      <w:r w:rsidRPr="00E02B79">
        <w:t xml:space="preserve"> = 0.17). Adverse Childhood Experiences (ACEs) were associated with every variable in the model and had a combined direct and indirect association with ACS of β</w:t>
      </w:r>
      <w:r w:rsidRPr="00E02B79">
        <w:rPr>
          <w:vertAlign w:val="subscript"/>
        </w:rPr>
        <w:t>total</w:t>
      </w:r>
      <w:r w:rsidRPr="00E02B79">
        <w:t xml:space="preserve"> = 0.14. Multi-group analysis found significant pathway differences in the model for gender and age with regards to the association of intentions, attitudes, ACEs and Childhood Family Dynamics with alcohol consumption status. The study fills a gap in the alcohol literature by presenting a model describing the complex network of factors that predict alcohol consumption in a low ACS population. The outcomes of the study highlight the importance of early intervention for children and their families to delay or minimize alcohol consumption in adolescents. </w:t>
      </w:r>
    </w:p>
    <w:p w14:paraId="04BF2AEC" w14:textId="77777777" w:rsidR="009A583D" w:rsidRPr="00E02B79" w:rsidRDefault="009A583D" w:rsidP="009A583D">
      <w:pPr>
        <w:pStyle w:val="Heading1"/>
        <w:rPr>
          <w:rFonts w:cs="Times New Roman"/>
          <w:sz w:val="24"/>
          <w:szCs w:val="24"/>
        </w:rPr>
      </w:pPr>
      <w:r w:rsidRPr="00E02B79">
        <w:rPr>
          <w:rFonts w:cs="Times New Roman"/>
          <w:sz w:val="24"/>
          <w:szCs w:val="24"/>
        </w:rPr>
        <w:t>Key Words</w:t>
      </w:r>
    </w:p>
    <w:p w14:paraId="37225FD0" w14:textId="53A1CB2A" w:rsidR="009A583D" w:rsidRDefault="009A583D" w:rsidP="009A583D">
      <w:pPr>
        <w:autoSpaceDE w:val="0"/>
        <w:autoSpaceDN w:val="0"/>
        <w:adjustRightInd w:val="0"/>
        <w:spacing w:after="240"/>
      </w:pPr>
      <w:r w:rsidRPr="00E02B79">
        <w:t>adolescent alcohol consumption, childhood family dynamics, attitudes towards alcohol, underage drinking, adverse childhood experiences.</w:t>
      </w:r>
    </w:p>
    <w:p w14:paraId="00FBE034" w14:textId="77777777" w:rsidR="009A583D" w:rsidRPr="00E02B79" w:rsidRDefault="009A583D" w:rsidP="009A583D">
      <w:pPr>
        <w:autoSpaceDE w:val="0"/>
        <w:autoSpaceDN w:val="0"/>
        <w:adjustRightInd w:val="0"/>
        <w:spacing w:after="240"/>
      </w:pPr>
    </w:p>
    <w:p w14:paraId="259C8BBA" w14:textId="59D4EB7A" w:rsidR="00453A91" w:rsidRPr="003832ED" w:rsidRDefault="009A583D" w:rsidP="00453A91">
      <w:pPr>
        <w:pStyle w:val="Heading2"/>
      </w:pPr>
      <w:r>
        <w:rPr>
          <w:rStyle w:val="Heading1Char"/>
          <w:rFonts w:ascii="Times New Roman" w:hAnsi="Times New Roman"/>
          <w:b/>
          <w:sz w:val="28"/>
          <w:szCs w:val="26"/>
          <w:lang w:val="en-AU"/>
        </w:rPr>
        <w:lastRenderedPageBreak/>
        <w:br/>
      </w:r>
      <w:r w:rsidR="00453A91" w:rsidRPr="003832ED">
        <w:rPr>
          <w:rStyle w:val="Heading1Char"/>
          <w:rFonts w:ascii="Times New Roman" w:hAnsi="Times New Roman"/>
          <w:b/>
          <w:sz w:val="28"/>
          <w:szCs w:val="26"/>
          <w:lang w:val="en-AU"/>
        </w:rPr>
        <w:t>Introduction</w:t>
      </w:r>
      <w:bookmarkEnd w:id="0"/>
    </w:p>
    <w:p w14:paraId="01A92096" w14:textId="77777777" w:rsidR="00453A91" w:rsidRPr="003832ED" w:rsidRDefault="00453A91" w:rsidP="00453A91">
      <w:r w:rsidRPr="003832ED">
        <w:t xml:space="preserve">The consumption of alcohol by adolescents is an issue of major public health concern globally as it is associated with an array of poor physical, psychological and behavioural outcomes </w:t>
      </w:r>
      <w:r w:rsidRPr="003832ED">
        <w:fldChar w:fldCharType="begin"/>
      </w:r>
      <w:r w:rsidRPr="003832ED">
        <w:instrText xml:space="preserve"> ADDIN ZOTERO_ITEM CSL_CITATION {"citationID":"a25c7l9fvfp","properties":{"formattedCitation":"(Gore et al., 2011; National Health and Medical Research Council, 2009)","plainCitation":"(Gore et al., 2011; National Health and Medical Research Council, 2009)","noteIndex":0},"citationItems":[{"id":506,"uris":["http://zotero.org/users/1335606/items/P8S43DJ4"],"uri":["http://zotero.org/users/1335606/items/P8S43DJ4"],"itemData":{"id":506,"type":"article-journal","title":"Global burden of disease in young people aged 10–24 years: a systematic analysis","container-title":"The Lancet","page":"2093-2102","volume":"377","issue":"9783","source":"CrossRef","DOI":"10.1016/S0140-6736(11)60512-6","ISSN":"01406736","title-short":"Global burden of disease in young people aged 10–24 years","language":"en","author":[{"family":"Gore","given":"Fiona M"},{"family":"Bloem","given":"Paul JN"},{"family":"Patton","given":"George C"},{"family":"Ferguson","given":"Jane"},{"family":"Joseph","given":"Véronique"},{"family":"Coffey","given":"Carolyn"},{"family":"Sawyer","given":"Susan M"},{"family":"Mathers","given":"Colin D"}],"issued":{"date-parts":[["2011",6]]}},"label":"page"},{"id":653,"uris":["http://zotero.org/users/1335606/items/7PKKWVUA"],"uri":["http://zotero.org/users/1335606/items/7PKKWVUA"],"itemData":{"id":653,"type":"report","title":"Australian Guidelines to Reduce Health Risks from Drinking Alcohol","publisher":"Author","publisher-place":"Canberra, Australia","event-place":"Canberra, Australia","URL":"http://www.nhmrc.gov.au/_files_nhmrc/publications/attachments/ds10-alcohol.pdf","author":[{"literal":"National Health and Medical Research Council"}],"issued":{"date-parts":[["2009"]]}},"label":"page"}],"schema":"https://github.com/citation-style-language/schema/raw/master/csl-citation.json"} </w:instrText>
      </w:r>
      <w:r w:rsidRPr="003832ED">
        <w:fldChar w:fldCharType="separate"/>
      </w:r>
      <w:r w:rsidRPr="003832ED">
        <w:rPr>
          <w:noProof/>
        </w:rPr>
        <w:t>(Gore et al., 2011; National Health and Medical Research Council, 2009)</w:t>
      </w:r>
      <w:r w:rsidRPr="003832ED">
        <w:fldChar w:fldCharType="end"/>
      </w:r>
      <w:r w:rsidRPr="003832ED">
        <w:t xml:space="preserve">. Adolescent alcohol consumption is a leading cause of premature death and injury in adolescents </w:t>
      </w:r>
      <w:r w:rsidRPr="003832ED">
        <w:fldChar w:fldCharType="begin"/>
      </w:r>
      <w:r w:rsidRPr="003832ED">
        <w:instrText xml:space="preserve"> ADDIN ZOTERO_ITEM CSL_CITATION {"citationID":"wfwlqZKI","properties":{"formattedCitation":"(Gore et al., 2011)","plainCitation":"(Gore et al., 2011)","noteIndex":0},"citationItems":[{"id":506,"uris":["http://zotero.org/users/1335606/items/P8S43DJ4"],"uri":["http://zotero.org/users/1335606/items/P8S43DJ4"],"itemData":{"id":506,"type":"article-journal","title":"Global burden of disease in young people aged 10–24 years: a systematic analysis","container-title":"The Lancet","page":"2093-2102","volume":"377","issue":"9783","source":"CrossRef","DOI":"10.1016/S0140-6736(11)60512-6","ISSN":"01406736","title-short":"Global burden of disease in young people aged 10–24 years","language":"en","author":[{"family":"Gore","given":"Fiona M"},{"family":"Bloem","given":"Paul JN"},{"family":"Patton","given":"George C"},{"family":"Ferguson","given":"Jane"},{"family":"Joseph","given":"Véronique"},{"family":"Coffey","given":"Carolyn"},{"family":"Sawyer","given":"Susan M"},{"family":"Mathers","given":"Colin D"}],"issued":{"date-parts":[["2011",6]]}}}],"schema":"https://github.com/citation-style-language/schema/raw/master/csl-citation.json"} </w:instrText>
      </w:r>
      <w:r w:rsidRPr="003832ED">
        <w:fldChar w:fldCharType="separate"/>
      </w:r>
      <w:r w:rsidRPr="003832ED">
        <w:rPr>
          <w:noProof/>
        </w:rPr>
        <w:t>(Gore et al., 2011)</w:t>
      </w:r>
      <w:r w:rsidRPr="003832ED">
        <w:fldChar w:fldCharType="end"/>
      </w:r>
      <w:r w:rsidRPr="003832ED">
        <w:t xml:space="preserve"> and is a key risk factor for early sexual debut </w:t>
      </w:r>
      <w:r w:rsidRPr="003832ED">
        <w:fldChar w:fldCharType="begin"/>
      </w:r>
      <w:r w:rsidRPr="003832ED">
        <w:instrText xml:space="preserve"> ADDIN ZOTERO_ITEM CSL_CITATION {"citationID":"4wZ1LJxL","properties":{"formattedCitation":"(Coleman &amp; Cater, 2005)","plainCitation":"(Coleman &amp; Cater, 2005)","noteIndex":0},"citationItems":[{"id":2091,"uris":["http://zotero.org/users/1335606/items/FC2NHUZT"],"uri":["http://zotero.org/users/1335606/items/FC2NHUZT"],"itemData":{"id":2091,"type":"article-journal","title":"A qualitative study of the relationship between alcohol consumption and risky sex in adolescents","container-title":"Archives of Sexual Behavior","page":"649-661","volume":"34","issue":"6","source":"PubMed","abstract":"This study examined how alcohol consumption over a single session can affect the likelihood of risky sex in adolescents. Risky sexual behavior, as defined in this study, included sexual intercourse without the use of contraception or aNY sexual behavior that was subsequently regretted. In-depth interviews were conducted with 64 adolescents (aged 14-17 years). Data were analyzed following the principles of Interpretative Phenomenological Analysis. The impact of alcohol consumption upon risky sexual behavior was found to operate through a \"continuum of influence.\" The 5 effects or explanations within this continuum, possibly determined through the level of inebriation, are summarized as follows: (1) alcohol affecting young people's assessment of a person's sexual attractiveness; (2) alcohol used as an \"excuse\" for socially unacceptable behavior; (3) increased confidence and lowering of inhibitions; (4) impaired judgment in accurately recognizing and controlling a potentially risky situation; and (5) complete loss of control, memory loss, and \"black-out.\" These explanations were ordered with increasing significance. That is, impaired judgment (Explanation 4) and complete loss of control (Explanation 5) arguably represented the most significant effects of drinking alcohol upon risky sexual behavior. For those participants who reported both risky and non-risky sexual behavior, risky events were more likely to occur when alcohol consumption had increased and when the impaired judgment and complete loss of control explanations were applicable. The implications of understanding this complex relationship are outlined, and they will be of interest to academics, practitioners, and policy-makers in the alcohol and sex fields.","DOI":"10.1007/s10508-005-7917-6","ISSN":"0004-0002","note":"PMID: 16362249","journalAbbreviation":"Arch Sex Behav","language":"eng","author":[{"family":"Coleman","given":"Lester M."},{"family":"Cater","given":"Suzanne M."}],"issued":{"date-parts":[["2005",12]]}}}],"schema":"https://github.com/citation-style-language/schema/raw/master/csl-citation.json"} </w:instrText>
      </w:r>
      <w:r w:rsidRPr="003832ED">
        <w:fldChar w:fldCharType="separate"/>
      </w:r>
      <w:r w:rsidRPr="003832ED">
        <w:rPr>
          <w:noProof/>
        </w:rPr>
        <w:t>(Coleman &amp; Cater, 2005)</w:t>
      </w:r>
      <w:r w:rsidRPr="003832ED">
        <w:fldChar w:fldCharType="end"/>
      </w:r>
      <w:r w:rsidRPr="003832ED">
        <w:t xml:space="preserve">, depression </w:t>
      </w:r>
      <w:r w:rsidRPr="003832ED">
        <w:fldChar w:fldCharType="begin"/>
      </w:r>
      <w:r w:rsidRPr="003832ED">
        <w:instrText xml:space="preserve"> ADDIN ZOTERO_ITEM CSL_CITATION {"citationID":"4naom3QA","properties":{"formattedCitation":"(Fergusson, Boden, &amp; Horwood, 2009)","plainCitation":"(Fergusson, Boden, &amp; Horwood, 2009)","noteIndex":0},"citationItems":[{"id":2093,"uris":["http://zotero.org/users/1335606/items/8HLCTRJA"],"uri":["http://zotero.org/users/1335606/items/8HLCTRJA"],"itemData":{"id":2093,"type":"article-journal","title":"Tests of causal links between alcohol abuse or dependence and major depression","container-title":"Archives of General Psychiatry","page":"260-266","volume":"66","issue":"3","source":"PubMed","abstract":"CONTEXT: There has been a great deal of research on the comorbidity between alcohol abuse or dependence (AAD) and major depression (MD). However, it is unclear whether AAD increases the risk of MD or vice versa.\nOBJECTIVE: To examine the associations between AAD and MD using fixed-effects modeling to control for confounding and using structural equation models to ascertain the direction of causality.\nDESIGN: Data were gathered during the course of the Christchurch Health and Development Study, a 25-year longitudinal study of a birth cohort of children from New Zealand (635 boys, 630 girls).\nSETTING: General community sample.\nPARTICIPANTS: The analysis was based on a sample of 1055 participants with available data on AAD and MD at ages 17 to 18, 20 to 21, and 24 to 25 years.\nMAIN OUTCOME MEASURES: Symptom criteria for AAD and MD from the DSM-IV at ages 17 to 18, 20 to 21, and 24 to 25 years as well as measures of life stress, cannabis use, other illicit drug use, affiliation with deviant peers, unemployment, partner substance use, and partner criminality at ages 17 to 18, 20 to 21, and 24 to 25 years.\nRESULTS: There were significant (P &lt; .001) pooled associations between AAD and MD. Controlling for confounding factors using conditional fixed-effects models and time-dynamic covariate factors reduced the magnitude of these associations, but they remained statistically significant. Structural equation modeling suggested that the best-fitting causal model was one in which AAD led to increased risk of MD.\nCONCLUSIONS: The findings suggest that the associations between AAD and MD were best explained by a causal model in which problems with alcohol led to increased risk of MD as opposed to a self-medication model in which MD led to increased risk of AAD.","DOI":"10.1001/archgenpsychiatry.2008.543","ISSN":"1538-3636","note":"PMID: 19255375","journalAbbreviation":"Arch. Gen. Psychiatry","language":"eng","author":[{"family":"Fergusson","given":"David M."},{"family":"Boden","given":"Joseph M."},{"family":"Horwood","given":"L. John"}],"issued":{"date-parts":[["2009",3]]}}}],"schema":"https://github.com/citation-style-language/schema/raw/master/csl-citation.json"} </w:instrText>
      </w:r>
      <w:r w:rsidRPr="003832ED">
        <w:fldChar w:fldCharType="separate"/>
      </w:r>
      <w:r w:rsidRPr="003832ED">
        <w:rPr>
          <w:noProof/>
        </w:rPr>
        <w:t>(Fergusson, Boden, &amp; Horwood, 2009)</w:t>
      </w:r>
      <w:r w:rsidRPr="003832ED">
        <w:fldChar w:fldCharType="end"/>
      </w:r>
      <w:r w:rsidRPr="003832ED">
        <w:t xml:space="preserve"> compromised brain function and development</w:t>
      </w:r>
      <w:r>
        <w:t xml:space="preserve"> </w:t>
      </w:r>
      <w:r w:rsidRPr="003632D7">
        <w:fldChar w:fldCharType="begin"/>
      </w:r>
      <w:r w:rsidRPr="003632D7">
        <w:instrText xml:space="preserve"> ADDIN ZOTERO_ITEM CSL_CITATION {"citationID":"a1ok6m2o6f1","properties":{"formattedCitation":"(Jacobus &amp; Tapert, 2013; McQueeny et al., 2009)","plainCitation":"(Jacobus &amp; Tapert, 2013; McQueeny et al., 2009)","noteIndex":0},"citationItems":[{"id":2097,"uris":["http://zotero.org/users/1335606/items/NYNI2R34"],"uri":["http://zotero.org/users/1335606/items/NYNI2R34"],"itemData":{"id":2097,"type":"article-journal","title":"Neurotoxic effects of alcohol in adolescence","container-title":"Annual Review of Clinical Psychology","page":"703-721","volume":"9","source":"PubMed","abstract":"This review examines neuroimaging and neurocognitive findings on alcohol-related toxicity in adolescents. Teens who meet criteria for alcohol use disorders, as well as those who engage in subdiagnostic binge drinking behaviors, often show poorer neurocognitive performance, alterations in gray and white matter brain structure, and discrepant functional brain activation patterns when compared to nonusing and demographically matched controls. Abnormalities are also observed in teens with a family history of alcoholism, and such differences in neuromaturation may leave youths at increased risk for the development of an alcohol use disorder or increased substance use severity. More prospective investigations are needed, and future work should focus on disentangling preexisting differences from dose-dependent effects of alcohol on neurodevelopment. Intervention strategies that utilize neuroimaging findings (e.g., identified weaknesses in particular neural substrates and behavioral correlates) may be helpful in both prevention and intervention campaigns for teens both pre- and postinitiation of alcohol use.","DOI":"10.1146/annurev-clinpsy-050212-185610","ISSN":"1548-5951","note":"PMID: 23245341\nPMCID: PMC3873326","journalAbbreviation":"Annu Rev Clin Psychol","language":"eng","author":[{"family":"Jacobus","given":"Joanna"},{"family":"Tapert","given":"Susan F."}],"issued":{"date-parts":[["2013"]]}},"label":"page"},{"id":2095,"uris":["http://zotero.org/users/1335606/items/MW852RL3"],"uri":["http://zotero.org/users/1335606/items/MW852RL3"],"itemData":{"id":2095,"type":"article-journal","title":"Altered white matter integrity in adolescent binge drinkers","container-title":"Alcoholism, Clinical and Experimental Research","page":"1278-1285","volume":"33","issue":"7","source":"PubMed","abstract":"BACKGROUND: White matter integrity has been found to be compromised in adult alcoholics, but it is unclear when in the course of alcohol exposure white matter abnormalities become apparent. This study assessed microstructural white matter integrity among adolescent binge drinkers with no history of an alcohol use disorder.\nMETHODS: We used diffusion tensor imaging to examine fractional anisotropy (FA), a measure of directional coherence of white matter tracts, among teens with (n = 14) and without (n = 14) histories of binge drinking but no history of alcohol use disorder, matched on age, gender, and education.\nRESULTS: Binge drinkers had lower FA than controls in 18 white matter areas (clusters &gt; or =27 contiguous voxels, each with p &lt; 0.01) throughout the brain, including the corpus callosum, superior longitudinal fasciculus, corona radiata, internal and external capsules, and commissural, limbic, brainstem, and cortical projection fibers, while exhibiting no areas of higher FA. Among binge drinkers, lower FA in 6 of these regions was linked to significantly greater lifetime hangover symptoms and/or higher estimated peak blood alcohol concentrations.\nCONCLUSIONS: Binge drinking adolescents demonstrated widespread reductions of FA in major white matter pathways. Although preliminary, these results could indicate that infrequent exposure to large doses of alcohol during youth may compromise white matter fiber coherence.","DOI":"10.1111/j.1530-0277.2009.00953.x","ISSN":"1530-0277","note":"PMID: 19389185\nPMCID: PMC2825379","journalAbbreviation":"Alcohol. Clin. Exp. Res.","language":"eng","author":[{"family":"McQueeny","given":"Tim"},{"family":"Schweinsburg","given":"Brian C."},{"family":"Schweinsburg","given":"Alecia D."},{"family":"Jacobus","given":"Joanna"},{"family":"Bava","given":"Sunita"},{"family":"Frank","given":"Lawrence R."},{"family":"Tapert","given":"Susan F."}],"issued":{"date-parts":[["2009",7]]}},"label":"page"}],"schema":"https://github.com/citation-style-language/schema/raw/master/csl-citation.json"} </w:instrText>
      </w:r>
      <w:r w:rsidRPr="003632D7">
        <w:fldChar w:fldCharType="separate"/>
      </w:r>
      <w:r w:rsidRPr="003632D7">
        <w:rPr>
          <w:noProof/>
        </w:rPr>
        <w:t>(Jacobus &amp; Tapert, 2013; McQueeny et al., 2009)</w:t>
      </w:r>
      <w:r w:rsidRPr="003632D7">
        <w:fldChar w:fldCharType="end"/>
      </w:r>
      <w:r w:rsidRPr="003832ED">
        <w:t xml:space="preserve">, poor academic outcomes </w:t>
      </w:r>
      <w:r w:rsidRPr="003832ED">
        <w:fldChar w:fldCharType="begin"/>
      </w:r>
      <w:r>
        <w:instrText xml:space="preserve"> ADDIN ZOTERO_ITEM CSL_CITATION {"citationID":"a1ok6m2o6f1","properties":{"formattedCitation":"(Jacobus &amp; Tapert, 2013; McQueeny et al., 2009)","plainCitation":"(Jacobus &amp; Tapert, 2013; McQueeny et al., 2009)","dontUpdate":true,"noteIndex":0},"citationItems":[{"id":2097,"uris":["http://zotero.org/users/1335606/items/NYNI2R34"],"uri":["http://zotero.org/users/1335606/items/NYNI2R34"],"itemData":{"id":2097,"type":"article-journal","title":"Neurotoxic effects of alcohol in adolescence","container-title":"Annual Review of Clinical Psychology","page":"703-721","volume":"9","source":"PubMed","abstract":"This review examines neuroimaging and neurocognitive findings on alcohol-related toxicity in adolescents. Teens who meet criteria for alcohol use disorders, as well as those who engage in subdiagnostic binge drinking behaviors, often show poorer neurocognitive performance, alterations in gray and white matter brain structure, and discrepant functional brain activation patterns when compared to nonusing and demographically matched controls. Abnormalities are also observed in teens with a family history of alcoholism, and such differences in neuromaturation may leave youths at increased risk for the development of an alcohol use disorder or increased substance use severity. More prospective investigations are needed, and future work should focus on disentangling preexisting differences from dose-dependent effects of alcohol on neurodevelopment. Intervention strategies that utilize neuroimaging findings (e.g., identified weaknesses in particular neural substrates and behavioral correlates) may be helpful in both prevention and intervention campaigns for teens both pre- and postinitiation of alcohol use.","DOI":"10.1146/annurev-clinpsy-050212-185610","ISSN":"1548-5951","note":"PMID: 23245341\nPMCID: PMC3873326","journalAbbreviation":"Annu Rev Clin Psychol","language":"eng","author":[{"family":"Jacobus","given":"Joanna"},{"family":"Tapert","given":"Susan F."}],"issued":{"date-parts":[["2013"]]}},"label":"page"},{"id":2095,"uris":["http://zotero.org/users/1335606/items/MW852RL3"],"uri":["http://zotero.org/users/1335606/items/MW852RL3"],"itemData":{"id":2095,"type":"article-journal","title":"Altered white matter integrity in adolescent binge drinkers","container-title":"Alcoholism, Clinical and Experimental Research","page":"1278-1285","volume":"33","issue":"7","source":"PubMed","abstract":"BACKGROUND: White matter integrity has been found to be compromised in adult alcoholics, but it is unclear when in the course of alcohol exposure white matter abnormalities become apparent. This study assessed microstructural white matter integrity among adolescent binge drinkers with no history of an alcohol use disorder.\nMETHODS: We used diffusion tensor imaging to examine fractional anisotropy (FA), a measure of directional coherence of white matter tracts, among teens with (n = 14) and without (n = 14) histories of binge drinking but no history of alcohol use disorder, matched on age, gender, and education.\nRESULTS: Binge drinkers had lower FA than controls in 18 white matter areas (clusters &gt; or =27 contiguous voxels, each with p &lt; 0.01) throughout the brain, including the corpus callosum, superior longitudinal fasciculus, corona radiata, internal and external capsules, and commissural, limbic, brainstem, and cortical projection fibers, while exhibiting no areas of higher FA. Among binge drinkers, lower FA in 6 of these regions was linked to significantly greater lifetime hangover symptoms and/or higher estimated peak blood alcohol concentrations.\nCONCLUSIONS: Binge drinking adolescents demonstrated widespread reductions of FA in major white matter pathways. Although preliminary, these results could indicate that infrequent exposure to large doses of alcohol during youth may compromise white matter fiber coherence.","DOI":"10.1111/j.1530-0277.2009.00953.x","ISSN":"1530-0277","note":"PMID: 19389185\nPMCID: PMC2825379","journalAbbreviation":"Alcohol. Clin. Exp. Res.","language":"eng","author":[{"family":"McQueeny","given":"Tim"},{"family":"Schweinsburg","given":"Brian C."},{"family":"Schweinsburg","given":"Alecia D."},{"family":"Jacobus","given":"Joanna"},{"family":"Bava","given":"Sunita"},{"family":"Frank","given":"Lawrence R."},{"family":"Tapert","given":"Susan F."}],"issued":{"date-parts":[["2009",7]]}},"label":"page"}],"schema":"https://github.com/citation-style-language/schema/raw/master/csl-citation.json"} </w:instrText>
      </w:r>
      <w:r w:rsidRPr="003832ED">
        <w:fldChar w:fldCharType="separate"/>
      </w:r>
      <w:r>
        <w:rPr>
          <w:noProof/>
        </w:rPr>
        <w:t>(Koch &amp; McGeary, 2005)</w:t>
      </w:r>
      <w:r w:rsidRPr="003832ED">
        <w:fldChar w:fldCharType="end"/>
      </w:r>
      <w:r w:rsidRPr="003832ED">
        <w:t xml:space="preserve">, alcohol dependence </w:t>
      </w:r>
      <w:r w:rsidRPr="003832ED">
        <w:fldChar w:fldCharType="begin"/>
      </w:r>
      <w:r>
        <w:instrText xml:space="preserve"> ADDIN ZOTERO_ITEM CSL_CITATION {"citationID":"IwYMoL1z","properties":{"formattedCitation":"(Koch &amp; McGeary, 2005)","plainCitation":"(Koch &amp; McGeary, 2005)","dontUpdate":true,"noteIndex":0},"citationItems":[{"id":2099,"uris":["http://zotero.org/users/1335606/items/XY2I2V4L"],"uri":["http://zotero.org/users/1335606/items/XY2I2V4L"],"itemData":{"id":2099,"type":"article-journal","title":"The Effect of Youth Alcohol Initiation on High School Completion","container-title":"Economic Inquiry","page":"750-765","volume":"43","issue":"4","source":"Wiley Online Library","abstract":"The social environment inherent in schools impacts both alcohol consumption onset and high school completion. The results reported here, based on data from the 1979–96 NLSY panels, show that the social coincidences between alcohol consumption and education are important determinants of both education completion and alcohol onset. Ignoring the social nature of these simultaneous decisions underestimates the impact of alcohol onset on education. After correcting for the presence of an endogenous positive relationship between schooling and alcohol consumption, we find that alcohol initiation before age 14 significantly reduces the probability of timeously completing high school by between 7% and 22%. (JEL I18, I21)","DOI":"10.1093/ei/cbi052","ISSN":"1465-7295","language":"en","author":[{"family":"Koch","given":"Steven F."},{"family":"McGeary","given":"Kerry Anne"}],"issued":{"date-parts":[["2005",10,1]]}}}],"schema":"https://github.com/citation-style-language/schema/raw/master/csl-citation.json"} </w:instrText>
      </w:r>
      <w:r w:rsidRPr="003832ED">
        <w:fldChar w:fldCharType="separate"/>
      </w:r>
      <w:r>
        <w:rPr>
          <w:noProof/>
        </w:rPr>
        <w:t>(McCambridge, McAlaney, &amp; Rowe, 2011)</w:t>
      </w:r>
      <w:r w:rsidRPr="003832ED">
        <w:fldChar w:fldCharType="end"/>
      </w:r>
      <w:r>
        <w:t xml:space="preserve"> </w:t>
      </w:r>
      <w:r w:rsidRPr="003832ED">
        <w:t xml:space="preserve">and adverse mental and physical health in adulthood </w:t>
      </w:r>
      <w:r w:rsidRPr="003832ED">
        <w:fldChar w:fldCharType="begin"/>
      </w:r>
      <w:r w:rsidRPr="003832ED">
        <w:instrText xml:space="preserve"> ADDIN ZOTERO_ITEM CSL_CITATION {"citationID":"nTWYw4D0","properties":{"formattedCitation":"(Andr\\uc0\\u233{}asson, Romelsj\\uc0\\u246{}, &amp; Allebeck, 1991)","plainCitation":"(Andréasson, Romelsjö, &amp; Allebeck, 1991)","noteIndex":0},"citationItems":[{"id":2107,"uris":["http://zotero.org/users/1335606/items/IMRK42EM"],"uri":["http://zotero.org/users/1335606/items/IMRK42EM"],"itemData":{"id":2107,"type":"article-journal","title":"Alcohol, social factors and mortality among young men","container-title":"British Journal of Addiction","page":"877-887","volume":"86","issue":"7","source":"Wiley Online Library","abstract":"In a 20-year follow-up the association between alcohol consumption, social and personal background factors and mortality was studied in a cohort of 49464 Swedish conscripts. The relative risk of death among high consumers (those consuming more than 250 g alcohol/week at conscription) was 2.8 (95% confidence interval 2.2–3.7) compared with moderate consumers (1–100 g/week). Deaths caused by direct toxic effects of alcohol were few, less than 5%. Instead suicides and accidents predominated. Abstainers had a slightly lower mortality than moderate consumers, with a relative risk of 0.8 (0.6–1.1), due to a significantly lower risk for traffic deaths. High consumers of alcohol had more than twice as many social and personal risk factors for premature death compared with the cohort as a whole. Yet presence of social risk factors added little to the already increased relative risk of death among high consumers.","DOI":"10.1111/j.1360-0443.1991.tb01843.x","ISSN":"1360-0443","language":"en","author":[{"family":"Andréasson","given":"Sven"},{"family":"Romelsjö","given":"Anders"},{"family":"Allebeck","given":"Peter"}],"issued":{"date-parts":[["1991",7,1]]}}}],"schema":"https://github.com/citation-style-language/schema/raw/master/csl-citation.json"} </w:instrText>
      </w:r>
      <w:r w:rsidRPr="003832ED">
        <w:fldChar w:fldCharType="separate"/>
      </w:r>
      <w:r w:rsidRPr="003832ED">
        <w:t>(Andréasson, Romelsjö, &amp; Allebeck, 1991)</w:t>
      </w:r>
      <w:r w:rsidRPr="003832ED">
        <w:fldChar w:fldCharType="end"/>
      </w:r>
      <w:r w:rsidRPr="003832ED">
        <w:t>.</w:t>
      </w:r>
    </w:p>
    <w:p w14:paraId="5053CEF1" w14:textId="77777777" w:rsidR="00453A91" w:rsidRPr="003832ED" w:rsidRDefault="00453A91" w:rsidP="00453A91">
      <w:r w:rsidRPr="003832ED">
        <w:t xml:space="preserve">Over the past few decades, there has been a steady decline in alcohol consumption in adolescent populations in many countries including England, the United States </w:t>
      </w:r>
      <w:r w:rsidRPr="003832ED">
        <w:fldChar w:fldCharType="begin"/>
      </w:r>
      <w:r w:rsidRPr="003832ED">
        <w:instrText xml:space="preserve"> ADDIN ZOTERO_ITEM CSL_CITATION {"citationID":"tBT8mSb9","properties":{"formattedCitation":"(Looze et al., 2015)","plainCitation":"(Looze et al., 2015)","noteIndex":0},"citationItems":[{"id":2114,"uris":["http://zotero.org/users/1335606/items/6T7XYX8H"],"uri":["http://zotero.org/users/1335606/items/6T7XYX8H"],"itemData":{"id":2114,"type":"article-journal","title":"Decreases in adolescent weekly alcohol use in Europe and North America: evidence from 28 countries from 2002 to 2010","container-title":"European Journal of Public Health","page":"69-72","volume":"25","issue":"suppl_2","source":"academic.oup.com","abstract":"Background: This study examined trends in adolescent weekly alcohol use between 2002 and 2010 in 28 European and North American countries. Methods: Analyses were based on data from 11-, 13- and 15-year-old adolescents who participated in the Health Behaviour in School-Aged Children (HBSC) study in 2002, 2006 and 2010. Results: Weekly alcohol use declined in 20 of 28 countries and in all geographic regions, from 12.1 to 6.1% in Anglo-Saxon countries, 11.4 to 7.8% in Western Europe, 9.3 to 4.1% in Northern Europe and 16.3 to 9.9% in Southern Europe. Even in Eastern Europe, where a stable trend was observed between 2002 and 2006, weekly alcohol use declined between 2006 and 2010 from 12.3 to 10.1%. The decline was evident in all gender and age subgroups. Conclusions: These consistent trends may be attributable to increased awareness of the harmful effects of alcohol for adolescent development and the implementation of associated prevention efforts, or changes in social norms and conditions. Although the declining trend was remarkably similar across countries, prevalence rates still differed considerably across countries.","DOI":"10.1093/eurpub/ckv031","ISSN":"1101-1262","title-short":"Decreases in adolescent weekly alcohol use in Europe and North America","journalAbbreviation":"Eur J Public Health","author":[{"family":"Looze","given":"Margaretha","dropping-particle":"de"},{"family":"Raaijmakers","given":"Quinten"},{"family":"Bogt","given":"Tom","dropping-particle":"ter"},{"family":"Bendtsen","given":"Pernille"},{"family":"Farhat","given":"Tilda"},{"family":"Ferreira","given":"Mafalda"},{"family":"Godeau","given":"Emmanuelle"},{"family":"Kuntsche","given":"Emmanuel"},{"family":"Molcho","given":"Michal"},{"family":"Pförtner","given":"Timo-Kolja"},{"family":"Simons-Morton","given":"Bruce"},{"family":"Vieno","given":"Alessio"},{"family":"Vollebergh","given":"Wilma"},{"family":"Pickett","given":"William"}],"issued":{"date-parts":[["2015",4,1]]}}}],"schema":"https://github.com/citation-style-language/schema/raw/master/csl-citation.json"} </w:instrText>
      </w:r>
      <w:r w:rsidRPr="003832ED">
        <w:fldChar w:fldCharType="separate"/>
      </w:r>
      <w:r w:rsidRPr="003832ED">
        <w:rPr>
          <w:noProof/>
        </w:rPr>
        <w:t>(Looze et al., 2015)</w:t>
      </w:r>
      <w:r w:rsidRPr="003832ED">
        <w:fldChar w:fldCharType="end"/>
      </w:r>
      <w:r w:rsidRPr="003832ED">
        <w:t xml:space="preserve">, Australia </w:t>
      </w:r>
      <w:r w:rsidRPr="003832ED">
        <w:fldChar w:fldCharType="begin"/>
      </w:r>
      <w:r w:rsidRPr="003832ED">
        <w:instrText xml:space="preserve"> ADDIN ZOTERO_ITEM CSL_CITATION {"citationID":"h66pTVLA","properties":{"formattedCitation":"(Livingston, 2014)","plainCitation":"(Livingston, 2014)","noteIndex":0},"citationItems":[{"id":2110,"uris":["http://zotero.org/users/1335606/items/TA5I6ZPK"],"uri":["http://zotero.org/users/1335606/items/TA5I6ZPK"],"itemData":{"id":2110,"type":"article-journal","title":"Trends in non-drinking among Australian adolescents","container-title":"Addiction","page":"922-929","volume":"109","issue":"6","source":"Wiley Online Library","abstract":"Background and Aims\n\nRecent evidence suggests that there has been a sharp increase in non-drinking among Australian adolescents. This study aimed to explore the socio-demographic patterns of this increase to identify the potential causal factors.\n\n\nDesign\n\nTwo waves (2001 and 2010) of cross-sectional data from the National Drug Strategy Household Survey, a large-scale population survey. Logistic regression analyses were used to identify significant changes over time, with interaction terms used to test whether trends varied by respondent characteristics.\n\n\nSetting\n\nAustralia.\n\n\nParticipants\n\nRespondents aged 14–17 years (n = 1477 in 2001 and 1075 in 2010).\n\n\nMeasurements\n\nThe key outcome measure was 12-month abstention from alcohol. Socio-demographic variables including sex, age, income, socio-economic status, state and rurality were examined.\n\n\nFindings\n\nRates of abstention increased overall from 32.9% [95% confidence interval (CI) = 30.0–35.7%) to 50.2% (95% CI = 46.7–53.6%) (P &lt; 0.01). Abstention increased significantly across all population subgroups examined.\n\n\nConclusions\n\nA broad change in drinking behaviour has occurred among Australian adolescents in the last decade, with rates of abstention among 14–17-year-olds increasing markedly. Increases in abstention have occurred consistently across a wide range of population subgroups defined by demographic, socio-economic and regional factors.","DOI":"10.1111/add.12524","ISSN":"1360-0443","journalAbbreviation":"Addiction","language":"en","author":[{"family":"Livingston","given":"Michael"}],"issued":{"date-parts":[["2014",6,1]]}}}],"schema":"https://github.com/citation-style-language/schema/raw/master/csl-citation.json"} </w:instrText>
      </w:r>
      <w:r w:rsidRPr="003832ED">
        <w:fldChar w:fldCharType="separate"/>
      </w:r>
      <w:r w:rsidRPr="003832ED">
        <w:rPr>
          <w:noProof/>
        </w:rPr>
        <w:t>(Livingston, 2014)</w:t>
      </w:r>
      <w:r w:rsidRPr="003832ED">
        <w:fldChar w:fldCharType="end"/>
      </w:r>
      <w:r w:rsidRPr="003832ED">
        <w:t xml:space="preserve"> and a number of European countries </w:t>
      </w:r>
      <w:r w:rsidRPr="003832ED">
        <w:fldChar w:fldCharType="begin"/>
      </w:r>
      <w:r w:rsidRPr="003832ED">
        <w:instrText xml:space="preserve"> ADDIN ZOTERO_ITEM CSL_CITATION {"citationID":"d7ZMKLzX","properties":{"formattedCitation":"(Looze et al., 2015)","plainCitation":"(Looze et al., 2015)","noteIndex":0},"citationItems":[{"id":2114,"uris":["http://zotero.org/users/1335606/items/6T7XYX8H"],"uri":["http://zotero.org/users/1335606/items/6T7XYX8H"],"itemData":{"id":2114,"type":"article-journal","title":"Decreases in adolescent weekly alcohol use in Europe and North America: evidence from 28 countries from 2002 to 2010","container-title":"European Journal of Public Health","page":"69-72","volume":"25","issue":"suppl_2","source":"academic.oup.com","abstract":"Background: This study examined trends in adolescent weekly alcohol use between 2002 and 2010 in 28 European and North American countries. Methods: Analyses were based on data from 11-, 13- and 15-year-old adolescents who participated in the Health Behaviour in School-Aged Children (HBSC) study in 2002, 2006 and 2010. Results: Weekly alcohol use declined in 20 of 28 countries and in all geographic regions, from 12.1 to 6.1% in Anglo-Saxon countries, 11.4 to 7.8% in Western Europe, 9.3 to 4.1% in Northern Europe and 16.3 to 9.9% in Southern Europe. Even in Eastern Europe, where a stable trend was observed between 2002 and 2006, weekly alcohol use declined between 2006 and 2010 from 12.3 to 10.1%. The decline was evident in all gender and age subgroups. Conclusions: These consistent trends may be attributable to increased awareness of the harmful effects of alcohol for adolescent development and the implementation of associated prevention efforts, or changes in social norms and conditions. Although the declining trend was remarkably similar across countries, prevalence rates still differed considerably across countries.","DOI":"10.1093/eurpub/ckv031","ISSN":"1101-1262","title-short":"Decreases in adolescent weekly alcohol use in Europe and North America","journalAbbreviation":"Eur J Public Health","author":[{"family":"Looze","given":"Margaretha","dropping-particle":"de"},{"family":"Raaijmakers","given":"Quinten"},{"family":"Bogt","given":"Tom","dropping-particle":"ter"},{"family":"Bendtsen","given":"Pernille"},{"family":"Farhat","given":"Tilda"},{"family":"Ferreira","given":"Mafalda"},{"family":"Godeau","given":"Emmanuelle"},{"family":"Kuntsche","given":"Emmanuel"},{"family":"Molcho","given":"Michal"},{"family":"Pförtner","given":"Timo-Kolja"},{"family":"Simons-Morton","given":"Bruce"},{"family":"Vieno","given":"Alessio"},{"family":"Vollebergh","given":"Wilma"},{"family":"Pickett","given":"William"}],"issued":{"date-parts":[["2015",4,1]]}}}],"schema":"https://github.com/citation-style-language/schema/raw/master/csl-citation.json"} </w:instrText>
      </w:r>
      <w:r w:rsidRPr="003832ED">
        <w:fldChar w:fldCharType="separate"/>
      </w:r>
      <w:r w:rsidRPr="003832ED">
        <w:rPr>
          <w:noProof/>
        </w:rPr>
        <w:t>(Looze et al., 2015)</w:t>
      </w:r>
      <w:r w:rsidRPr="003832ED">
        <w:fldChar w:fldCharType="end"/>
      </w:r>
      <w:r w:rsidRPr="003832ED">
        <w:t xml:space="preserve">. In Australia, these declines have occurred across a wide range of population subgroups defined by demographic, geographic and socio-economic factors </w:t>
      </w:r>
      <w:r w:rsidRPr="003832ED">
        <w:fldChar w:fldCharType="begin"/>
      </w:r>
      <w:r w:rsidRPr="003832ED">
        <w:instrText xml:space="preserve"> ADDIN ZOTERO_ITEM CSL_CITATION {"citationID":"IpDrMdjz","properties":{"formattedCitation":"(Livingston, 2014)","plainCitation":"(Livingston, 2014)","noteIndex":0},"citationItems":[{"id":2110,"uris":["http://zotero.org/users/1335606/items/TA5I6ZPK"],"uri":["http://zotero.org/users/1335606/items/TA5I6ZPK"],"itemData":{"id":2110,"type":"article-journal","title":"Trends in non-drinking among Australian adolescents","container-title":"Addiction","page":"922-929","volume":"109","issue":"6","source":"Wiley Online Library","abstract":"Background and Aims\n\nRecent evidence suggests that there has been a sharp increase in non-drinking among Australian adolescents. This study aimed to explore the socio-demographic patterns of this increase to identify the potential causal factors.\n\n\nDesign\n\nTwo waves (2001 and 2010) of cross-sectional data from the National Drug Strategy Household Survey, a large-scale population survey. Logistic regression analyses were used to identify significant changes over time, with interaction terms used to test whether trends varied by respondent characteristics.\n\n\nSetting\n\nAustralia.\n\n\nParticipants\n\nRespondents aged 14–17 years (n = 1477 in 2001 and 1075 in 2010).\n\n\nMeasurements\n\nThe key outcome measure was 12-month abstention from alcohol. Socio-demographic variables including sex, age, income, socio-economic status, state and rurality were examined.\n\n\nFindings\n\nRates of abstention increased overall from 32.9% [95% confidence interval (CI) = 30.0–35.7%) to 50.2% (95% CI = 46.7–53.6%) (P &lt; 0.01). Abstention increased significantly across all population subgroups examined.\n\n\nConclusions\n\nA broad change in drinking behaviour has occurred among Australian adolescents in the last decade, with rates of abstention among 14–17-year-olds increasing markedly. Increases in abstention have occurred consistently across a wide range of population subgroups defined by demographic, socio-economic and regional factors.","DOI":"10.1111/add.12524","ISSN":"1360-0443","journalAbbreviation":"Addiction","language":"en","author":[{"family":"Livingston","given":"Michael"}],"issued":{"date-parts":[["2014",6,1]]}}}],"schema":"https://github.com/citation-style-language/schema/raw/master/csl-citation.json"} </w:instrText>
      </w:r>
      <w:r w:rsidRPr="003832ED">
        <w:fldChar w:fldCharType="separate"/>
      </w:r>
      <w:r w:rsidRPr="003832ED">
        <w:rPr>
          <w:noProof/>
        </w:rPr>
        <w:t>(Livingston, 2014)</w:t>
      </w:r>
      <w:r w:rsidRPr="003832ED">
        <w:fldChar w:fldCharType="end"/>
      </w:r>
      <w:r w:rsidRPr="003832ED">
        <w:t xml:space="preserve">. Little attempt has been made to explore the factors driving the reduction in alcohol consumption in adolescent populations </w:t>
      </w:r>
      <w:r w:rsidRPr="003832ED">
        <w:fldChar w:fldCharType="begin"/>
      </w:r>
      <w:r w:rsidRPr="003832ED">
        <w:instrText xml:space="preserve"> ADDIN ZOTERO_ITEM CSL_CITATION {"citationID":"a2pk6r303o1","properties":{"formattedCitation":"(Livingston, 2015; Pennay, Livingston, &amp; MacLean, 2015)","plainCitation":"(Livingston, 2015; Pennay, Livingston, &amp; MacLean, 2015)","noteIndex":0},"citationItems":[{"id":2119,"uris":["http://zotero.org/users/1335606/items/CRG54XGS"],"uri":["http://zotero.org/users/1335606/items/CRG54XGS"],"itemData":{"id":2119,"type":"report","title":"Understanding recent trends in australian alcohol consumption","publisher":"Foundation for Alcohol Research and Education","publisher-place":"Canberra","event-place":"Canberra","URL":"http://www.fare.org.au/wp-content/uploads/research/Understanding-recent-trends-in-Australian-alcohol-consumption.pdf","author":[{"family":"Livingston","given":"Michael"}],"issued":{"date-parts":[["2015"]]}},"label":"page"},{"id":2046,"uris":["http://zotero.org/users/1335606/items/8QZWF52I"],"uri":["http://zotero.org/users/1335606/items/8QZWF52I"],"itemData":{"id":2046,"type":"article-journal","title":"Young people are drinking less: It is time to find out why","container-title":"Drug and Alcohol Review","page":"115-118","volume":"34","issue":"2","source":"Wiley Online Library","DOI":"10.1111/dar.12255","ISSN":"1465-3362","title-short":"Young people are drinking less","journalAbbreviation":"Drug Alcohol Rev","language":"en","author":[{"family":"Pennay","given":"Amy"},{"family":"Livingston","given":"Michael"},{"family":"MacLean","given":"Sarah"}],"issued":{"date-parts":[["2015",3,1]]}},"label":"page"}],"schema":"https://github.com/citation-style-language/schema/raw/master/csl-citation.json"} </w:instrText>
      </w:r>
      <w:r w:rsidRPr="003832ED">
        <w:fldChar w:fldCharType="separate"/>
      </w:r>
      <w:r w:rsidRPr="003832ED">
        <w:rPr>
          <w:noProof/>
        </w:rPr>
        <w:t>(Livingston, 2015; Pennay, Livingston, &amp; MacLean, 2015)</w:t>
      </w:r>
      <w:r w:rsidRPr="003832ED">
        <w:fldChar w:fldCharType="end"/>
      </w:r>
      <w:r w:rsidRPr="003832ED">
        <w:t xml:space="preserve"> despite the potential public health benefits </w:t>
      </w:r>
      <w:r w:rsidRPr="003832ED">
        <w:fldChar w:fldCharType="begin"/>
      </w:r>
      <w:r w:rsidRPr="003832ED">
        <w:instrText xml:space="preserve"> ADDIN ZOTERO_ITEM CSL_CITATION {"citationID":"8VMXKRxV","properties":{"formattedCitation":"(Livingston, 2014)","plainCitation":"(Livingston, 2014)","noteIndex":0},"citationItems":[{"id":2110,"uris":["http://zotero.org/users/1335606/items/TA5I6ZPK"],"uri":["http://zotero.org/users/1335606/items/TA5I6ZPK"],"itemData":{"id":2110,"type":"article-journal","title":"Trends in non-drinking among Australian adolescents","container-title":"Addiction","page":"922-929","volume":"109","issue":"6","source":"Wiley Online Library","abstract":"Background and Aims\n\nRecent evidence suggests that there has been a sharp increase in non-drinking among Australian adolescents. This study aimed to explore the socio-demographic patterns of this increase to identify the potential causal factors.\n\n\nDesign\n\nTwo waves (2001 and 2010) of cross-sectional data from the National Drug Strategy Household Survey, a large-scale population survey. Logistic regression analyses were used to identify significant changes over time, with interaction terms used to test whether trends varied by respondent characteristics.\n\n\nSetting\n\nAustralia.\n\n\nParticipants\n\nRespondents aged 14–17 years (n = 1477 in 2001 and 1075 in 2010).\n\n\nMeasurements\n\nThe key outcome measure was 12-month abstention from alcohol. Socio-demographic variables including sex, age, income, socio-economic status, state and rurality were examined.\n\n\nFindings\n\nRates of abstention increased overall from 32.9% [95% confidence interval (CI) = 30.0–35.7%) to 50.2% (95% CI = 46.7–53.6%) (P &lt; 0.01). Abstention increased significantly across all population subgroups examined.\n\n\nConclusions\n\nA broad change in drinking behaviour has occurred among Australian adolescents in the last decade, with rates of abstention among 14–17-year-olds increasing markedly. Increases in abstention have occurred consistently across a wide range of population subgroups defined by demographic, socio-economic and regional factors.","DOI":"10.1111/add.12524","ISSN":"1360-0443","journalAbbreviation":"Addiction","language":"en","author":[{"family":"Livingston","given":"Michael"}],"issued":{"date-parts":[["2014",6,1]]}}}],"schema":"https://github.com/citation-style-language/schema/raw/master/csl-citation.json"} </w:instrText>
      </w:r>
      <w:r w:rsidRPr="003832ED">
        <w:fldChar w:fldCharType="separate"/>
      </w:r>
      <w:r w:rsidRPr="003832ED">
        <w:rPr>
          <w:noProof/>
        </w:rPr>
        <w:t>(Livingston, 2014)</w:t>
      </w:r>
      <w:r w:rsidRPr="003832ED">
        <w:fldChar w:fldCharType="end"/>
      </w:r>
      <w:r w:rsidRPr="003832ED">
        <w:t xml:space="preserve">. </w:t>
      </w:r>
    </w:p>
    <w:p w14:paraId="3A36D316" w14:textId="77777777" w:rsidR="00453A91" w:rsidRPr="003832ED" w:rsidRDefault="00453A91" w:rsidP="00453A91">
      <w:r w:rsidRPr="003832ED">
        <w:t xml:space="preserve">Factors driving drinking behaviours in adolescents are wide-ranging, occurring on multiple levels. Behaviour change theories such as the Theory of Reasoned Action (TRA) </w:t>
      </w:r>
      <w:r w:rsidRPr="003832ED">
        <w:fldChar w:fldCharType="begin"/>
      </w:r>
      <w:r w:rsidRPr="003832ED">
        <w:instrText xml:space="preserve"> ADDIN ZOTERO_ITEM CSL_CITATION {"citationID":"VEz49HjB","properties":{"formattedCitation":"(Ajzen &amp; Fishbein, 1980)","plainCitation":"(Ajzen &amp; Fishbein, 1980)","noteIndex":0},"citationItems":[{"id":2680,"uris":["http://zotero.org/users/1335606/items/WSSDHC4W"],"uri":["http://zotero.org/users/1335606/items/WSSDHC4W"],"itemData":{"id":2680,"type":"book","title":"Understanding Attitudes and Predicting Social Behavior","publisher":"Pearson","publisher-place":"Englewood Cliffs, N.J","number-of-pages":"288","edition":"1 edition","source":"Amazon","event-place":"Englewood Cliffs, N.J","abstract":"Core text in attitude courses. Explains \"theory and reasoned action\" model and then applies the model to various cases.","ISBN":"978-0-13-936435-8","language":"English","author":[{"family":"Ajzen","given":"Icek"},{"family":"Fishbein","given":"Martin"}],"issued":{"date-parts":[["1980",3,17]]}}}],"schema":"https://github.com/citation-style-language/schema/raw/master/csl-citation.json"} </w:instrText>
      </w:r>
      <w:r w:rsidRPr="003832ED">
        <w:fldChar w:fldCharType="separate"/>
      </w:r>
      <w:r w:rsidRPr="003832ED">
        <w:rPr>
          <w:noProof/>
        </w:rPr>
        <w:t>(Ajzen &amp; Fishbein, 1980)</w:t>
      </w:r>
      <w:r w:rsidRPr="003832ED">
        <w:fldChar w:fldCharType="end"/>
      </w:r>
      <w:r w:rsidRPr="003832ED">
        <w:t xml:space="preserve"> have been used extensively to predict, explain and understand health-related behaviours such as alcohol consumption in adolescents </w:t>
      </w:r>
      <w:r w:rsidRPr="003832ED">
        <w:fldChar w:fldCharType="begin"/>
      </w:r>
      <w:r w:rsidRPr="003832ED">
        <w:instrText xml:space="preserve"> ADDIN ZOTERO_ITEM CSL_CITATION {"citationID":"pG96nUGb","properties":{"formattedCitation":"(Laflin et al., 1994; Lorenzo-Blanco et al., 2016; Stoddard &amp; Pierce, 2018)","plainCitation":"(Laflin et al., 1994; Lorenzo-Blanco et al., 2016; Stoddard &amp; Pierce, 2018)","noteIndex":0},"citationItems":[{"id":2687,"uris":["http://zotero.org/users/1335606/items/ZED8HHDQ"],"uri":["http://zotero.org/users/1335606/items/ZED8HHDQ"],"itemData":{"id":2687,"type":"article-journal","title":"Use of the Theory of Reasoned Action to Predict Drug and Alcohol Use","container-title":"International Journal of the Addictions","page":"927-940","volume":"29","issue":"7","source":"Taylor and Francis+NEJM","abstract":"The present study examines the role of self-esteem (SE) in the prediction of drug and alcohol use. Consistent with research on the theory of reasoned action, we suggest that alcohol and drug attitudes and subjective norms are more useful in the prediction of self-reported drug and alcohol consumption than SE. In the present study, measures of SE, drug attitudes, subjective norms, and drug use behaviors were collected from 2,074 high school and college students. Results indicate that drug attitudes and subjective norms do predict drug and alcohol use, but that SE does not add significantly to the prediction of the drug and alcohol behaviors.","DOI":"10.3109/10826089409047918","ISSN":"0020-773X","author":[{"family":"Laflin","given":"Molly T."},{"family":"Moore-Hirschl","given":"Sarah"},{"family":"Weis","given":"David L."},{"family":"Hayes","given":"Bob E."}],"issued":{"date-parts":[["1994",1,1]]}},"label":"page"},{"id":2684,"uris":["http://zotero.org/users/1335606/items/GD8HDVH6"],"uri":["http://zotero.org/users/1335606/items/GD8HDVH6"],"itemData":{"id":2684,"type":"article-journal","title":"Alcohol use among recent immigrant Latino/a youth: acculturation, gender, and the Theory of Reasoned Action","container-title":"Ethnicity &amp; Health","page":"609-627","volume":"21","issue":"6","source":"Taylor and Francis+NEJM","abstract":"Objective. Latino/a youth are at risk for alcohol use. This risk seems to rise with increasing US cultural orientation and decreasing Latino cultural orientation, especially among girls. To ascertain how acculturation may influence Latino/a youth alcohol use, we integrated an expanded multi-domain model of acculturation with the Theory of Reasoned Action.Design. Participants were 302 recent Latino/a immigrant youth (141 girls, 160 boys; 152 from Miami, 150 from Los Angeles) who completed surveys at 4 time points. Youth completed measures of acculturation, attitudes toward drinking, perceived subjective norms regarding alcohol use, intention to drink, and alcohol use.Results. Structural equation modeling indicated that collectivistic values predicted more perceived disapproval of drinking, which negatively predicted intention to drink. Intention to drink predicted elevated alcohol use.Conclusion. Although the association between collectivistic values and social disapproval of drinking was relatively small (β = .19, p &lt; .05), findings suggest that collectivistic values may help protect Latino/a immigrant youth from alcohol use by influencing their perceived social disapproval of drinking, leading to lower intention to drink. Educational preventive interventions aimed at reducing or preventing alcohol use in recent Latino/a immigrant youth could promote collectivistic values and disseminate messages about the negative consequences of drinking.","DOI":"10.1080/13557858.2016.1179723","ISSN":"1355-7858","note":"PMID: 27220730","title-short":"Alcohol use among recent immigrant Latino/a youth","author":[{"family":"Lorenzo-Blanco","given":"Elma I."},{"family":"Schwartz","given":"Seth J."},{"family":"Unger","given":"Jennifer B."},{"family":"Zamboanga","given":"Byron L."},{"family":"Rosiers","given":"Sabrina E. Des"},{"family":"Baezconde-Garbanati","given":"Lourdes"},{"family":"Huang","given":"Shi"},{"family":"Villamar","given":"Juan A."},{"family":"Soto","given":"Daniel"},{"family":"Pattarroyo","given":"Monica"}],"issued":{"date-parts":[["2016",11,1]]}},"label":"page"},{"id":2682,"uris":["http://zotero.org/users/1335606/items/GATZINNH"],"uri":["http://zotero.org/users/1335606/items/GATZINNH"],"itemData":{"id":2682,"type":"article-journal","title":"Alcohol and Marijuana Use and Intentions Among Adolescents: The Role of the Reasoned Action Approach and Positive Future Orientation","container-title":"Youth &amp; Society","page":"758-779","volume":"50","issue":"6","source":"SAGE Journals","abstract":"Perceptions of alcohol and other drug (AOD) use are associated with adolescent substance use behavior, yet research on the role of contextual factors and positive assets in this relationship is scant. This study examined the relationship between school environment and peer influence and past 30-day alcohol and marijuana use via positive future orientation and AOD perceptions in a high school sample (n = 392; 49% male; 73% White). A positive peer influence and a positive school environment were associated with lower alcohol and marijuana use via future orientation, reasoned action approach (RAA) constructs (i.e., injunctive norms, AOD expectancies, and perceived control over AOD use), and intentions to avoid AOD use. The findings provide support for the role of a positive future orientation in the prevention of AOD use among youth and point to differential paths of influence for contextual factors.","DOI":"10.1177/0044118X16671610","ISSN":"0044-118X","title-short":"Alcohol and Marijuana Use and Intentions Among Adolescents","journalAbbreviation":"Youth &amp; Society","language":"en","author":[{"family":"Stoddard","given":"Sarah A."},{"family":"Pierce","given":"Jennifer"}],"issued":{"date-parts":[["2018",9,1]]}},"label":"page"}],"schema":"https://github.com/citation-style-language/schema/raw/master/csl-citation.json"} </w:instrText>
      </w:r>
      <w:r w:rsidRPr="003832ED">
        <w:fldChar w:fldCharType="separate"/>
      </w:r>
      <w:r w:rsidRPr="003832ED">
        <w:rPr>
          <w:noProof/>
        </w:rPr>
        <w:t>(Laflin et al., 1994; Lorenzo-Blanco et al., 2016; Stoddard &amp; Pierce, 2018)</w:t>
      </w:r>
      <w:r w:rsidRPr="003832ED">
        <w:fldChar w:fldCharType="end"/>
      </w:r>
      <w:r w:rsidRPr="003832ED">
        <w:t xml:space="preserve">. The TRA’s premises are threefold. Firstly, the TRA </w:t>
      </w:r>
      <w:r w:rsidRPr="003832ED">
        <w:lastRenderedPageBreak/>
        <w:t xml:space="preserve">proposes that intentions are an important predictor of behaviour. Secondly, intentions are directly determined by two motivational factors, namely: attitudes and subjective norms. Attitudes refer to the evaluation of a particular behaviour by the individual. Subjective norms capture social pressures that may influence an individual’s intention to use alcohol </w:t>
      </w:r>
      <w:r w:rsidRPr="003832ED">
        <w:fldChar w:fldCharType="begin"/>
      </w:r>
      <w:r w:rsidRPr="003832ED">
        <w:instrText xml:space="preserve"> ADDIN ZOTERO_ITEM CSL_CITATION {"citationID":"LzeNqkcm","properties":{"formattedCitation":"(Ajzen &amp; Fishbein, 1980)","plainCitation":"(Ajzen &amp; Fishbein, 1980)","noteIndex":0},"citationItems":[{"id":2680,"uris":["http://zotero.org/users/1335606/items/WSSDHC4W"],"uri":["http://zotero.org/users/1335606/items/WSSDHC4W"],"itemData":{"id":2680,"type":"book","title":"Understanding Attitudes and Predicting Social Behavior","publisher":"Pearson","publisher-place":"Englewood Cliffs, N.J","number-of-pages":"288","edition":"1 edition","source":"Amazon","event-place":"Englewood Cliffs, N.J","abstract":"Core text in attitude courses. Explains \"theory and reasoned action\" model and then applies the model to various cases.","ISBN":"978-0-13-936435-8","language":"English","author":[{"family":"Ajzen","given":"Icek"},{"family":"Fishbein","given":"Martin"}],"issued":{"date-parts":[["1980",3,17]]}}}],"schema":"https://github.com/citation-style-language/schema/raw/master/csl-citation.json"} </w:instrText>
      </w:r>
      <w:r w:rsidRPr="003832ED">
        <w:fldChar w:fldCharType="separate"/>
      </w:r>
      <w:r w:rsidRPr="003832ED">
        <w:rPr>
          <w:noProof/>
        </w:rPr>
        <w:t>(Ajzen &amp; Fishbein, 1980)</w:t>
      </w:r>
      <w:r w:rsidRPr="003832ED">
        <w:fldChar w:fldCharType="end"/>
      </w:r>
      <w:r w:rsidRPr="003832ED">
        <w:t xml:space="preserve">. The literature on alcohol use suggests that attitudes towards alcohol use, normative influences and intention to use alcohol are important predictors of adolescent alcohol consumption </w:t>
      </w:r>
      <w:r w:rsidRPr="003832ED">
        <w:fldChar w:fldCharType="begin"/>
      </w:r>
      <w:r w:rsidRPr="003832ED">
        <w:instrText xml:space="preserve"> ADDIN ZOTERO_ITEM CSL_CITATION {"citationID":"w7VgAtTL","properties":{"formattedCitation":"(Marcoux &amp; Shope, 1997)","plainCitation":"(Marcoux &amp; Shope, 1997)","noteIndex":0},"citationItems":[{"id":2223,"uris":["http://zotero.org/users/1335606/items/E5RBHERK"],"uri":["http://zotero.org/users/1335606/items/E5RBHERK"],"itemData":{"id":2223,"type":"article-journal","title":"Application of the Theory of Planned Behavior to adolescent use and misuse of alcohol","container-title":"Health Educ. Res.","volume":"12","source":"ResearchGate","abstract":"This research assessed the plausibility and robustness of Ajzen's Theory of Planned Behavior (TPB) in predicting and explaining use, frequency of use and misuse of alcohol among 3946 fifth through eighth grade students in southeastern Michigan. The study also compared the effectiveness of the TPB and the Theory of Reasoned Action (TRA) in predicting intention to use alcohol. Data for this secondary analysis were part of a longitudinal study, and were collected in March and May of 1987. Results provided strong support for the use of the TPB in this context and suggest that the model is fairly robust. All model components reached significance at the 0.05 level. Intention to use alcohol explained up to 26% of the variance in use, 38% of the variance in frequency of use and 30% of the variance in misuse of alcohol. In addition, up to 76% of the variance in intention to use alcohol was explained by attitudes, subjective norms and perceived behavioral control. Although both models were effective in predicting intention to use alcohol, as expected, the TPB was more effective in predicting intention to use alcohol than was the TRA.","DOI":"10.1093/her/12.3.323","author":[{"family":"Marcoux","given":"Beth"},{"family":"Shope","given":"Jean"}],"issued":{"date-parts":[["1997",9,1]]}}}],"schema":"https://github.com/citation-style-language/schema/raw/master/csl-citation.json"} </w:instrText>
      </w:r>
      <w:r w:rsidRPr="003832ED">
        <w:fldChar w:fldCharType="separate"/>
      </w:r>
      <w:r w:rsidRPr="003832ED">
        <w:rPr>
          <w:noProof/>
        </w:rPr>
        <w:t>(Marcoux &amp; Shope, 1997)</w:t>
      </w:r>
      <w:r w:rsidRPr="003832ED">
        <w:fldChar w:fldCharType="end"/>
      </w:r>
      <w:r w:rsidRPr="003832ED">
        <w:t>. Thirdly, antecedent to attitudes and subjective norms</w:t>
      </w:r>
      <w:r w:rsidRPr="003832ED" w:rsidDel="00F828F3">
        <w:t xml:space="preserve"> </w:t>
      </w:r>
      <w:r w:rsidRPr="003832ED">
        <w:t xml:space="preserve">are beliefs. Fishbein and Ajzen </w:t>
      </w:r>
      <w:r w:rsidRPr="003832ED">
        <w:fldChar w:fldCharType="begin"/>
      </w:r>
      <w:r w:rsidRPr="003832ED">
        <w:instrText xml:space="preserve"> ADDIN ZOTERO_ITEM CSL_CITATION {"citationID":"DbTWoA7l","properties":{"formattedCitation":"(Fishbein &amp; Ajzen, 2011)","plainCitation":"(Fishbein &amp; Ajzen, 2011)","noteIndex":0},"citationItems":[{"id":54,"uris":["http://zotero.org/users/1335606/items/BJ4G9EKZ"],"uri":["http://zotero.org/users/1335606/items/BJ4G9EKZ"],"itemData":{"id":54,"type":"book","title":"Predicting and Changing Behavior: The Reasoned Action Approach","publisher":"Taylor &amp; Francis","number-of-pages":"539","source":"Google Books","abstract":"This book describes the reasoned action approach, an integrative framework for the prediction and change of human social behavior. It provides an up-to-date review of relevant research, discusses critical issues related to the reasoned action framework, and provides methodological and conceptual tools for the prediction and explanation of social behavior and for designing behavior change interventions.","ISBN":"978-1-136-87473-4","title-short":"Predicting and Changing Behavior","language":"en","author":[{"family":"Fishbein","given":"Martin"},{"family":"Ajzen","given":"Icek"}],"issued":{"date-parts":[["2011",5,20]]}}}],"schema":"https://github.com/citation-style-language/schema/raw/master/csl-citation.json"} </w:instrText>
      </w:r>
      <w:r w:rsidRPr="003832ED">
        <w:fldChar w:fldCharType="separate"/>
      </w:r>
      <w:r w:rsidRPr="003832ED">
        <w:rPr>
          <w:noProof/>
        </w:rPr>
        <w:t>(Fishbein &amp; Ajzen, 2011)</w:t>
      </w:r>
      <w:r w:rsidRPr="003832ED">
        <w:fldChar w:fldCharType="end"/>
      </w:r>
      <w:r w:rsidRPr="003832ED">
        <w:t xml:space="preserve"> regard these beliefs as the psychological determinants that need to be altered to bring about behaviour change. </w:t>
      </w:r>
    </w:p>
    <w:p w14:paraId="644CC8A2" w14:textId="77777777" w:rsidR="00453A91" w:rsidRPr="003832ED" w:rsidRDefault="00453A91" w:rsidP="00453A91">
      <w:r w:rsidRPr="003832ED">
        <w:t xml:space="preserve">While numerous theories explain the development of beliefs, Bronfenbrenner’s </w:t>
      </w:r>
      <w:r w:rsidRPr="003832ED">
        <w:fldChar w:fldCharType="begin"/>
      </w:r>
      <w:r w:rsidRPr="003832ED">
        <w:instrText xml:space="preserve"> ADDIN ZOTERO_ITEM CSL_CITATION {"citationID":"b4zxobuU","properties":{"formattedCitation":"(Bronfenbrenner, 2005)","plainCitation":"(Bronfenbrenner, 2005)","noteIndex":0},"citationItems":[{"id":1995,"uris":["http://zotero.org/users/1335606/items/W4QUDVDW"],"uri":["http://zotero.org/users/1335606/items/W4QUDVDW"],"itemData":{"id":1995,"type":"chapter","title":"The bioecological theory of human development.","container-title":"Making human beings human: bioecological perspectives on human development","publisher":"Sage","publisher-place":"Thousand Oaks, CA","page":"3-15","event-place":"Thousand Oaks, CA","abstract":"\"Making Human Beings Human tells the remarkable scientific story of Urie Bronfenbrenner's journey toward ‘a bioecology of human development'- a dynamic perspective of individuals in ever-changing, multi-level contexts. Building upon years of distinguished teaching and research at Cornell, the author skillfully weaves each part of his story together, highlighting the puzzles and fresh insights that enhance understanding. This is a marvelous book to read and cherish from one of our giants in the field of human development.\" -Glen H. Elder, University of North Carolina \"This volume is a remarkable compilation of several critical writings of one of the most influential developmental psychologists of the 20th, and now 21st, century. Making Human Beings Human is an essential reader for all students of human development, whether they are undergraduates, graduate students, teachers, practitioners, or policy makers. . . . To read this book is to be a passenger on an exhilarating six-decade-long journey of discovery which, for those interested in the landscape of human development, is every bit as exciting as a Lewis and Clark expedition.\" -John Eckenrode, Cornell University To a greater extent than any other species, human beings create the environments that, in turn, shape their own development. Given this, Making Human Beings Human: Bioecological Perspectives on Human Development endeavors to demonstrate that human beings can also develop those environments to optimize their most constructive genetic potentials. What makes human beings human, therefore, is both the potential to shape their world in intricate physical, social, technological, and cultural ways and the possibility that these actions will nurture positive development. Making Human Beings Human is a landmark collection that traces and summarizes Urie Bronfenbrenner's thoughts on the bioecological theory of human development and recommends avenues for future research. The majority of the twenty-three retrospective articles were written by Bronfenbrenner, while some were written with colleagues in his own or related fields, over the course of six decades. The book's articles document the domain of inquiry that has emerged gradually over many years and has now acquired a title of its own-the bioecological theory of human development.  The book is rich in cultural and historical comparisons, and the concepts of the bioecological model and the ecology of human development represent a unique contribution to the field of developmental psychology. As a co-founder of the Head Start program, Bronfenbrenner has played a major role in shaping many educational and public policies; therefore the book emphasizes social context within the bioecological theory.  Making Human Beings Human is a culminating work by a prominent figure in the field of human development and will help to shape the future of the field. It is an invaluable resource for every developmental psychologist, educator, and public policy individual involved with families and education. The book is also an excellent supplementary text for courses in Psychology, Family Studies and Human Development, Human Ecology, Education, and Public Policy.","ISBN":"978-0-7619-2711-2","language":"en","editor":[{"family":"Bronfenbrenner","given":"Urie"}],"author":[{"family":"Bronfenbrenner","given":"Urie"}],"issued":{"date-parts":[["2005"]]}}}],"schema":"https://github.com/citation-style-language/schema/raw/master/csl-citation.json"} </w:instrText>
      </w:r>
      <w:r w:rsidRPr="003832ED">
        <w:fldChar w:fldCharType="separate"/>
      </w:r>
      <w:r w:rsidRPr="003832ED">
        <w:rPr>
          <w:noProof/>
        </w:rPr>
        <w:t>(Bronfenbrenner, 2005)</w:t>
      </w:r>
      <w:r w:rsidRPr="003832ED">
        <w:fldChar w:fldCharType="end"/>
      </w:r>
      <w:r w:rsidRPr="003832ED">
        <w:t xml:space="preserve"> Bioecological Systems Theory (BST) suggests that the environment in which a child grows, particularly the family environment contributes to a child’s developing beliefs and ultimately their behaviour. Many studies </w:t>
      </w:r>
      <w:r w:rsidRPr="003832ED">
        <w:fldChar w:fldCharType="begin"/>
      </w:r>
      <w:r w:rsidRPr="003832ED">
        <w:instrText xml:space="preserve"> ADDIN ZOTERO_ITEM CSL_CITATION {"citationID":"UpEkpwEO","properties":{"formattedCitation":"(Kelly et al., 2011; Laghi, Baiocco, Lonigro, Capacchione, &amp; Baumgartner, 2012; Yap, Cheong, Zaravinos-Tsakos, Lubman, &amp; Jorm, 2017)","plainCitation":"(Kelly et al., 2011; Laghi, Baiocco, Lonigro, Capacchione, &amp; Baumgartner, 2012; Yap, Cheong, Zaravinos-Tsakos, Lubman, &amp; Jorm, 2017)","noteIndex":0},"citationItems":[{"id":2210,"uris":["http://zotero.org/users/1335606/items/G2IV2WYG"],"uri":["http://zotero.org/users/1335606/items/G2IV2WYG"],"itemData":{"id":2210,"type":"article-journal","title":"Family relationship quality and early alcohol use: evidence for gender-specific risk processes","container-title":"Journal of Studies on Alcohol and Drugs","page":"399-407","volume":"72","issue":"3","source":"PubMed","abstract":"OBJECTIVE: Family characteristics (relationship quality, parental behaviors, and attitudes relating to alcohol use) are known to influence alcohol use in the mid-teen years, and there is evidence that family characteristics have different influences on mid-teen girls versus boys. This study examined child gender differences in the association of family relationship quality, parental disapproval of children's alcohol use, and parental alcohol use with early adolescent alcohol use.\nMETHOD: Grade 6 and 8 students (modal age 11 and 13, respectively; N = 6,837; 52.6% female) were recruited from 231 schools across three Australian states. Hypotheses were tested using two-level ordinal logistic regression (individuals nested within schools). The main dependent measure was lifetime frequency of early adolescent alcohol consumption. Independent variables included mother's/father's alcohol use, closeness, conflict, and disapproval of adolescent alcohol use. Control variables included sensation seeking, peer alcohol use, and socioeconomic disadvantage.\nRESULTS: The key findings were that for the young age group (Grade 6), emotional closeness to the parent of the opposite sex was protective. Family conflict was associated with females' drinking in both age groups but not males' drinking.\nCONCLUSIONS: There was evidence of gender differences in the epidemiology of family relationship quality and early alcohol use. Social developmental models may need revision to account for these child gender differences. Gender-specific family dynamics may be an important consideration for family-oriented prevention strategy.","ISSN":"1938-4114","note":"PMID: 21513676","title-short":"Family relationship quality and early alcohol use","journalAbbreviation":"J Stud Alcohol Drugs","language":"eng","author":[{"family":"Kelly","given":"Adrian B."},{"family":"Toumbourou","given":"John W."},{"family":"O'Flaherty","given":"Martin"},{"family":"Patton","given":"George C."},{"family":"Homel","given":"Ross"},{"family":"Connor","given":"Jason P."},{"family":"Williams","given":"Joanne"}],"issued":{"date-parts":[["2011",5]]}},"label":"page"},{"id":2197,"uris":["http://zotero.org/users/1335606/items/BISISHUY"],"uri":["http://zotero.org/users/1335606/items/BISISHUY"],"itemData":{"id":2197,"type":"article-journal","title":"Family functioning and binge drinking among Italian adolescents","container-title":"Journal of Health Psychology","page":"1132-1141","volume":"17","issue":"8","source":"SAGE Journals","abstract":"Limited studies have sought to describe binge drinking among adolescents and even fewer studies have attempted to examine whether family functioning, family communication and satisfaction could be associated with alcohol abuse. Our sample was made up of 726 Italian adolescents between the ages of 16 and 18. According to previous research, adolescents were categorized into non-drinkers, social, binge and heavy drinkers. Results showed that social, binge and heavy drinkers differ in terms of some drinking variables, family functioning, family communication and satisfaction.","DOI":"10.1177/1359105311430005","ISSN":"1359-1053","journalAbbreviation":"J Health Psychol","language":"en","author":[{"family":"Laghi","given":"Fiorenzo"},{"family":"Baiocco","given":"Roberto"},{"family":"Lonigro","given":"Antonia"},{"family":"Capacchione","given":"Giulietta"},{"family":"Baumgartner","given":"Emma"}],"issued":{"date-parts":[["2012",11,1]]}},"label":"page"},{"id":2155,"uris":["http://zotero.org/users/1335606/items/WP6JFXE4"],"uri":["http://zotero.org/users/1335606/items/WP6JFXE4"],"itemData":{"id":2155,"type":"article-journal","title":"Modifiable parenting factors associated with adolescent alcohol misuse: a systematic review and meta-analysis of longitudinal studies","container-title":"Addiction","page":"1142-1162","volume":"112","issue":"7","source":"Wiley Online Library","abstract":"Background and aims\n\nAdolescent alcohol misuse is a growing global health concern. Substantial research suggests that parents have an important role in reducing young people's risk for early initiation of alcohol and alcohol-related harms. To facilitate research translation, we conducted a systematic review and meta-analyses of longitudinal studies examining the range of modifiable parenting factors that are associated with adolescent alcohol initiation and levels of later use/misuse.\n\n\nMethods\n\nA systematic literature search was conducted in PubMed, PsycINFO and Embase. Studies were included if they (i) used a longitudinal design; (ii) were published in English; (iii) measured any modifiable parenting factors in adolescence as predictors; (iv) assessed any alcohol-related outcome variables in adolescence and/or alcohol-related problems in adulthood; and (v) had a follow-up interval of at least 1 year. Parental behaviours were categorized into 12 parenting factors. Stouffer's P analyses were used to determine whether the associations between variables were reliable; when there were sufficient studies available, meta-analyses were also conducted to estimate mean effect sizes.\n\n\nResults\n\nBased on 131 studies, three risk factors (parental provision of alcohol, favourable parental attitudes towards alcohol use and parental drinking) and four protective factors (parental monitoring, parent–child relationship quality, parental support and parental involvement) were identified as longitudinal predictors of both alcohol initiation and levels of later alcohol use/misuse, based on their significant results in both Stouffer's P analyses and meta-analyses. The mean effect sizes were mainly small (rs = −0.224 to 0.263).\n\n\nConclusions\n\nRisk of adolescent alcohol misuse is positively associated with parental provision of alcohol, favourable parental attitudes towards alcohol use and parental drinking. It is negatively associated with parental monitoring, parent–child relationship quality, parental support and parental involvement.","DOI":"10.1111/add.13785","ISSN":"1360-0443","title-short":"Modifiable parenting factors associated with adolescent alcohol misuse","journalAbbreviation":"Addiction","language":"en","author":[{"family":"Yap","given":"Marie B. H."},{"family":"Cheong","given":"Tony W. K."},{"family":"Zaravinos-Tsakos","given":"Foivos"},{"family":"Lubman","given":"Dan I."},{"family":"Jorm","given":"Anthony F."}],"issued":{"date-parts":[["2017",7,1]]}},"label":"page"}],"schema":"https://github.com/citation-style-language/schema/raw/master/csl-citation.json"} </w:instrText>
      </w:r>
      <w:r w:rsidRPr="003832ED">
        <w:fldChar w:fldCharType="separate"/>
      </w:r>
      <w:r w:rsidRPr="003832ED">
        <w:rPr>
          <w:noProof/>
        </w:rPr>
        <w:t>(Kelly et al., 2011; Laghi, Baiocco, Lonigro, Capacchione, &amp; Baumgartner, 2012; Yap, Cheong, Zaravinos-Tsakos, Lubman, &amp; Jorm, 2017)</w:t>
      </w:r>
      <w:r w:rsidRPr="003832ED">
        <w:fldChar w:fldCharType="end"/>
      </w:r>
      <w:r w:rsidRPr="003832ED">
        <w:t xml:space="preserve"> confirm that an adolescent’s family dynamics, including relationship quality, may predict adolescent drinking beliefs, however little research has investigated the relationship between early childhood family dynamics and ACS later in the adolescent years. Other childhood experiences that may influence the development of beliefs are Adverse Childhood Experiences (ACEs) </w:t>
      </w:r>
      <w:r w:rsidRPr="003832ED">
        <w:fldChar w:fldCharType="begin"/>
      </w:r>
      <w:r w:rsidRPr="003832ED">
        <w:instrText xml:space="preserve"> ADDIN ZOTERO_ITEM CSL_CITATION {"citationID":"Rmifhhpz","properties":{"formattedCitation":"(Felitti et al., 1998)","plainCitation":"(Felitti et al., 1998)","noteIndex":0},"citationItems":[{"id":1923,"uris":["http://zotero.org/users/1335606/items/JT6GKQF9"],"uri":["http://zotero.org/users/1335606/items/JT6GKQF9"],"itemData":{"id":1923,"type":"article-journal","title":"Relationship of childhood abuse and household dysfunction to many of the leading causes of death in adults","container-title":"American Journal of Preventive Medicine","page":"245-258","volume":"14","issue":"4","source":"www.ajpmonline.org","DOI":"10.1016/S0749-3797(98)00017-8","ISSN":"0749-3797, 1873-2607","journalAbbreviation":"American Journal of Preventive Medicine","language":"English","author":[{"family":"Felitti","given":"Vincent J."},{"family":"Anda","given":"Robert F."},{"family":"Nordenberg","given":"Dale"},{"family":"Williamson","given":"David F."},{"family":"Spitz","given":"Alison M."},{"family":"Edwards","given":"Valerie"},{"family":"Koss","given":"Mary P."},{"family":"Marks","given":"James S."}],"issued":{"date-parts":[["1998",5,1]]}}}],"schema":"https://github.com/citation-style-language/schema/raw/master/csl-citation.json"} </w:instrText>
      </w:r>
      <w:r w:rsidRPr="003832ED">
        <w:fldChar w:fldCharType="separate"/>
      </w:r>
      <w:r w:rsidRPr="003832ED">
        <w:rPr>
          <w:noProof/>
        </w:rPr>
        <w:t>(Felitti et al., 1998)</w:t>
      </w:r>
      <w:r w:rsidRPr="003832ED">
        <w:fldChar w:fldCharType="end"/>
      </w:r>
      <w:r w:rsidRPr="003832ED">
        <w:t xml:space="preserve">. ACEs refer to stressful or traumatic experiences that a child may encounter in early life such as physical, psychological and sexual abuse, neglect, and family dysfunction. These traumatic, stressful experiences have been established as factors that predict alcohol consumption in adolescents </w:t>
      </w:r>
      <w:r w:rsidRPr="003832ED">
        <w:fldChar w:fldCharType="begin"/>
      </w:r>
      <w:r w:rsidRPr="003832ED">
        <w:instrText xml:space="preserve"> ADDIN ZOTERO_ITEM CSL_CITATION {"citationID":"Mz0vYnzp","properties":{"formattedCitation":"(Dube et al., 2006; Felitti et al., 1998; Gon\\uc0\\u231{}alves et al., 2016)","plainCitation":"(Dube et al., 2006; Felitti et al., 1998; Gonçalves et al., 2016)","noteIndex":0},"citationItems":[{"id":2057,"uris":["http://zotero.org/users/1335606/items/IDB9LNQB"],"uri":["http://zotero.org/users/1335606/items/IDB9LNQB"],"itemData":{"id":2057,"type":"article-journal","title":"Adverse childhood experiences and the association with ever using alcohol and initiating alcohol use during adolescence","container-title":"The Journal of Adolescent Health: Official Publication of the Society for Adolescent Medicine","page":"444.e1-10","volume":"38","issue":"4","source":"PubMed","abstract":"PURPOSE: Alcohol is the most common and frequently used drug and has the potential to cause multiple deleterious effects throughout the lifespan. Because early age at initiation of alcohol use increases this potential and programs and laws are in place to attempt to delay the onset of alcohol use, we studied the relationship between multiple adverse childhood experiences (ACEs) and both the likelihood of ever drinking and the age at initiating alcohol use.\nMETHODS: This was a retrospective cohort study of 8417 adult health maintenance organization (HMO) members in California who completed a survey about ACEs, which included childhood abuse and neglect, growing up with various forms of household dysfunction and alcohol use in adolescence and adulthood. The main outcomes measured were ever drinking and age at initiating alcohol use among ever-drinkers for four age categories: &lt; or = 14 years (early adolescence), 15 to 17 years (mid adolescence), and 18 to 20 years (late adolescence); age &gt; or = 21 years was the referent. The relationship between the total number of adverse childhood experiences (ACE score) and early initiation of alcohol use (&lt; or =14 years) among four birth cohorts dating back to 1900 was also examined.\nRESULTS: Eighty-nine percent of the cohort reported ever drinking; all individual ACEs except physical neglect increased the risk of ever using alcohol (p &lt; .05). Among ever drinkers, initiating alcohol use by age 14 years was increased two- to threefold by individual ACEs (p &lt; .05). ACEs also accounted for a 20% to 70% increased likelihood of alcohol use initiated during mid adolescence (15-17 years). The total number of ACEs (ACE score) had a very strong graded relationship to initiating alcohol use during early adolescence and a robust but somewhat less strong relationship to initiation during mid adolescence. For each of the four birth cohorts, the ACE score had a strong, graded relationship to initiating alcohol use by age 14 years (p &lt; .05).\nCONCLUSIONS: Adverse childhood experiences are strongly related to ever drinking alcohol and to alcohol initiation in early and mid adolescence, and the ACE score had a graded or \"dose-response\" relationship to these alcohol use behaviors. The persistent graded relationship between the ACE score and initiation of alcohol use by age 14 for four successive birth cohorts dating back to 1900 suggests that the stressful effects of ACEs transcend secular changes, including the increased availability of alcohol, alcohol advertising, and the recent campaigns and health education programs to prevent alcohol use. These findings strongly suggest that efforts to delay the age of onset of drinking must recognize the contribution of multiple traumatic and stressful events to alcohol-seeking behavior among children and adolescents.","DOI":"10.1016/j.jadohealth.2005.06.006","ISSN":"1879-1972","note":"PMID: 16549308","journalAbbreviation":"J Adolesc Health","language":"eng","author":[{"family":"Dube","given":"Shanta R."},{"family":"Miller","given":"Jacqueline W."},{"family":"Brown","given":"David W."},{"family":"Giles","given":"Wayne H."},{"family":"Felitti","given":"Vincent J."},{"family":"Dong","given":"Maxia"},{"family":"Anda","given":"Robert F."}],"issued":{"date-parts":[["2006",4]]}},"label":"page"},{"id":1923,"uris":["http://zotero.org/users/1335606/items/JT6GKQF9"],"uri":["http://zotero.org/users/1335606/items/JT6GKQF9"],"itemData":{"id":1923,"type":"article-journal","title":"Relationship of childhood abuse and household dysfunction to many of the leading causes of death in adults","container-title":"American Journal of Preventive Medicine","page":"245-258","volume":"14","issue":"4","source":"www.ajpmonline.org","DOI":"10.1016/S0749-3797(98)00017-8","ISSN":"0749-3797, 1873-2607","journalAbbreviation":"American Journal of Preventive Medicine","language":"English","author":[{"family":"Felitti","given":"Vincent J."},{"family":"Anda","given":"Robert F."},{"family":"Nordenberg","given":"Dale"},{"family":"Williamson","given":"David F."},{"family":"Spitz","given":"Alison M."},{"family":"Edwards","given":"Valerie"},{"family":"Koss","given":"Mary P."},{"family":"Marks","given":"James S."}],"issued":{"date-parts":[["1998",5,1]]}},"label":"page"},{"id":2216,"uris":["http://zotero.org/users/1335606/items/KCYDIE32"],"uri":["http://zotero.org/users/1335606/items/KCYDIE32"],"itemData":{"id":2216,"type":"article-journal","title":"Adverse childhood experiences and consumption of alcohol, tobacco and illicit drugs among adolescents of a Brazilian birth cohort","container-title":"Cadernos De Saude Publica","page":"e00085815","volume":"32","issue":"10","source":"PubMed","abstract":"The objective of this study was to investigate the association between adverse childhood experiences (ACEs) and the use of alcohol, tobacco and illicit drugs among adolescents from a Brazilian cohort. The occurrence of five ACEs, the use of alcohol and tobacco and trying illicit drugs were investigated in the 1993 Pelotas birth cohort at the age of 15 (n = 4,230). A score was created for the ACEs and their association with the use of substances was evaluated. Around 25% of adolescents consumed alcohol, 6% smoked and 2.1% reported having used drugs at least once in their lives. The ACEs were associated with the use of alcohol, tobacco and illicit drugs. A dose-response relation between the number of ACEs and the substance use was found, particularly with regard to illicit drugs. The occurrence of ACEs was positively associated with the use of alcohol, tobacco and illicit drugs among adolescents and the risk may be different for men and women. These results point to the fact that strategies for preventing the use of substances should include interventions both among adolescents and within the family environment.","DOI":"10.1590/0102-311X00085815","ISSN":"1678-4464","note":"PMID: 27828612","journalAbbreviation":"Cad Saude Publica","language":"eng","author":[{"family":"Gonçalves","given":"Helen"},{"family":"Soares","given":"Ana Luiza Gonçalves"},{"family":"Santos","given":"Ana Paula Gomes Dos"},{"family":"Ribeiro","given":"Camila Garcez"},{"family":"Bierhals","given":"Isabel Oliveira"},{"family":"Vieira","given":"Luna Strieder"},{"family":"Hellwig","given":"Natália Limões"},{"family":"Wehrmeister","given":"Fernando C."},{"family":"Menezes","given":"Ana M. B."}],"issued":{"date-parts":[["2016",11,3]]}},"label":"page"}],"schema":"https://github.com/citation-style-language/schema/raw/master/csl-citation.json"} </w:instrText>
      </w:r>
      <w:r w:rsidRPr="003832ED">
        <w:fldChar w:fldCharType="separate"/>
      </w:r>
      <w:r w:rsidRPr="003832ED">
        <w:t>(Dube et al., 2006; Felitti et al., 1998; Gonçalves et al., 2016)</w:t>
      </w:r>
      <w:r w:rsidRPr="003832ED">
        <w:fldChar w:fldCharType="end"/>
      </w:r>
      <w:r w:rsidRPr="003832ED">
        <w:t xml:space="preserve">. Studies that have applied the TRA to alcohol consumption have largely overlooked the influence of important antecedent beliefs </w:t>
      </w:r>
      <w:r w:rsidRPr="003832ED">
        <w:lastRenderedPageBreak/>
        <w:fldChar w:fldCharType="begin"/>
      </w:r>
      <w:r w:rsidRPr="003832ED">
        <w:instrText xml:space="preserve"> ADDIN ZOTERO_ITEM CSL_CITATION {"citationID":"YCLOrCTl","properties":{"formattedCitation":"(Pabian &amp; Vandebosch, 2014)","plainCitation":"(Pabian &amp; Vandebosch, 2014)","noteIndex":0},"citationItems":[{"id":2322,"uris":["http://zotero.org/users/1335606/items/EQDFXWZL"],"uri":["http://zotero.org/users/1335606/items/EQDFXWZL"],"itemData":{"id":2322,"type":"article-journal","title":"Using the theory of planned behaviour to understand cyberbullying: The importance of beliefs for developing interventions","container-title":"European Journal of Developmental Psychology","page":"463-477","volume":"11","issue":"4","source":"Taylor and Francis+NEJM","abstract":"This paper starts from the observation that research on cyberbullying perpetration has paid relatively little attention to proximal determinants of this behaviour. It therefore tests the value of a model that departs from variables representing the beliefs underlying the central concepts of the Theory of Planned Behaviour (TPB) to explain cyberbullying intention and behaviour. The data stem from a longitudinal study amongst 1606 students (11–17 years). A SEM analysis reveals that these beliefs account for respectively 88.8%, 38.2% and 24.6% of the variance in subjective norm (SN), perceived behavioural control (PBC) and attitude (A). The direct measurements of SN, A and PBC account for 28.8% of the variance of the intention to cyberbully, and intention, in turn, explains 8.6% of the reported behaviour six months later. We conclude that the model provides a detailed insight into the relative importance of several proximal determinants of cyberbullying, which benefits future cyberbullying interventions.","DOI":"10.1080/17405629.2013.858626","ISSN":"1740-5629","title-short":"Using the theory of planned behaviour to understand cyberbullying","author":[{"family":"Pabian","given":"Sara"},{"family":"Vandebosch","given":"Heidi"}],"issued":{"date-parts":[["2014",7,4]]}}}],"schema":"https://github.com/citation-style-language/schema/raw/master/csl-citation.json"} </w:instrText>
      </w:r>
      <w:r w:rsidRPr="003832ED">
        <w:fldChar w:fldCharType="separate"/>
      </w:r>
      <w:r w:rsidRPr="003832ED">
        <w:rPr>
          <w:noProof/>
        </w:rPr>
        <w:t>(Pabian &amp; Vandebosch, 2014)</w:t>
      </w:r>
      <w:r w:rsidRPr="003832ED">
        <w:fldChar w:fldCharType="end"/>
      </w:r>
      <w:r w:rsidRPr="003832ED">
        <w:t>. This study attempts to address this gap in the literature by including both the TRA and antecedent beliefs measured through the influence of ACEs and CFD when exploration of predictors of ACS are assessed.</w:t>
      </w:r>
    </w:p>
    <w:p w14:paraId="70B9E04A" w14:textId="77777777" w:rsidR="00453A91" w:rsidRPr="003832ED" w:rsidRDefault="00453A91" w:rsidP="00453A91">
      <w:r w:rsidRPr="003832ED">
        <w:t xml:space="preserve">One population of interest is the faith-based Seventh-day Adventist (Adventist) population which has been the subject of extensive health research. Adventists tend to consume significantly lower rates of alcohol than the general population </w:t>
      </w:r>
      <w:r w:rsidRPr="003832ED">
        <w:fldChar w:fldCharType="begin"/>
      </w:r>
      <w:r w:rsidRPr="003832ED">
        <w:instrText xml:space="preserve"> ADDIN ZOTERO_ITEM CSL_CITATION {"citationID":"n4umQBs3","properties":{"formattedCitation":"(Orlich et al., 2013a)","plainCitation":"(Orlich et al., 2013a)","noteIndex":0},"citationItems":[{"id":1001,"uris":["http://zotero.org/users/1335606/items/AZDB8ZZV"],"uri":["http://zotero.org/users/1335606/items/AZDB8ZZV"],"itemData":{"id":1001,"type":"article-journal","title":"Vegetarian dietary patterns and mortality in Adventist Health Study 2","container-title":"JAMA internal medicine","page":"1230-1238","volume":"173","issue":"13","source":"PubMed","abstract":"IMPORTANCE: Some evidence suggests vegetarian dietary patterns may be associated with reduced mortality, but the relationship is not well established.\nOBJECTIVE: To evaluate the association between vegetarian dietary patterns and mortality.\nDESIGN: Prospective cohort study; mortality analysis by Cox proportional hazards regression, controlling for important demographic and lifestyle confounders.\nSETTING: Adventist Health Study 2 (AHS-2), a large North American cohort.\nPARTICIPANTS: A total of 96,469 Seventh-day Adventist men and women recruited between 2002 and 2007, from which an analytic sample of 73,308 participants remained after exclusions.\nEXPOSURES: Diet was assessed at baseline by a quantitative food frequency questionnaire and categorized into 5 dietary patterns: nonvegetarian, semi-vegetarian, pesco-vegetarian, lacto-ovo-vegetarian, and vegan.\nMAIN OUTCOME AND MEASURE: The relationship between vegetarian dietary patterns and all-cause and cause-specific mortality; deaths through 2009 were identified from the National Death Index.\nRESULTS: There were 2570 deaths among 73,308 participants during a mean follow-up time of 5.79 years. The mortality rate was 6.05 (95% CI, 5.82-6.29) deaths per 1000 person-years. The adjusted hazard ratio (HR) for all-cause mortality in all vegetarians combined vs nonvegetarians was 0.88 (95% CI, 0.80-0.97). The adjusted HR for all-cause mortality in vegans was 0.85 (95% CI, 0.73-1.01); in lacto-ovo-vegetarians, 0.91 (95% CI, 0.82-1.00); in pesco-vegetarians, 0.81 (95% CI, 0.69-0.94); and in semi-vegetarians, 0.92 (95% CI, 0.75-1.13) compared with nonvegetarians. Significant associations with vegetarian diets were detected for cardiovascular mortality, noncardiovascular noncancer mortality, renal mortality, and endocrine mortality. Associations in men were larger and more often significant than were those in women.\nCONCLUSIONS AND RELEVANCE: Vegetarian diets are associated with lower all-cause mortality and with some reductions in cause-specific mortality. Results appeared to be more robust in males. These favorable associations should be considered carefully by those offering dietary guidance.","DOI":"10.1001/jamainternmed.2013.6473","ISSN":"2168-6114","note":"PMID: 23836264\nPMCID: PMC4191896","journalAbbreviation":"JAMA Intern Med","language":"eng","author":[{"family":"Orlich","given":"Michael J."},{"family":"Singh","given":"Pramil N."},{"family":"Sabaté","given":"Joan"},{"family":"Jaceldo-Siegl","given":"Karen"},{"family":"Fan","given":"Jing"},{"family":"Knutsen","given":"Synnove"},{"family":"Beeson","given":"W. Lawrence"},{"family":"Fraser","given":"Gary E."}],"issued":{"date-parts":[["2013",7,8]]}}}],"schema":"https://github.com/citation-style-language/schema/raw/master/csl-citation.json"} </w:instrText>
      </w:r>
      <w:r w:rsidRPr="003832ED">
        <w:fldChar w:fldCharType="separate"/>
      </w:r>
      <w:r w:rsidRPr="003832ED">
        <w:rPr>
          <w:noProof/>
        </w:rPr>
        <w:t>(Orlich et al., 2013a)</w:t>
      </w:r>
      <w:r w:rsidRPr="003832ED">
        <w:fldChar w:fldCharType="end"/>
      </w:r>
      <w:r w:rsidRPr="003832ED">
        <w:t xml:space="preserve">. Indeed the Adventist faith proscribes alcohol consumption and advocates positive family dynamics </w:t>
      </w:r>
      <w:r w:rsidRPr="003832ED">
        <w:fldChar w:fldCharType="begin"/>
      </w:r>
      <w:r w:rsidRPr="003832ED">
        <w:instrText xml:space="preserve"> ADDIN ZOTERO_ITEM CSL_CITATION {"citationID":"gF8GxL88","properties":{"formattedCitation":"(Ministerial Association of Seventh-Day, 1988)","plainCitation":"(Ministerial Association of Seventh-Day, 1988)","dontUpdate":true,"noteIndex":0},"citationItems":[{"id":430,"uris":["http://zotero.org/users/1335606/items/BPT4J8GC"],"uri":["http://zotero.org/users/1335606/items/BPT4J8GC"],"itemData":{"id":430,"type":"book","title":"Seventh-day Adventists Believe...A Biblical Exposition of 27 Fundamental Doctrines","publisher":"Review and Herald Publishing Association","publisher-place":"Washington, DC","number-of-pages":"392","edition":"First edition","source":"Amazon","event-place":"Washington, DC","ISBN":"978-0-8280-0466-4","language":"English","author":[{"literal":"Ministerial Association of Seventh-Day"}],"issued":{"date-parts":[["1988",5]]}}}],"schema":"https://github.com/citation-style-language/schema/raw/master/csl-citation.json"} </w:instrText>
      </w:r>
      <w:r w:rsidRPr="003832ED">
        <w:fldChar w:fldCharType="separate"/>
      </w:r>
      <w:r w:rsidRPr="003832ED">
        <w:t>(Ministerial Association of Seventh-Day Adventists, 1988)</w:t>
      </w:r>
      <w:r w:rsidRPr="003832ED">
        <w:fldChar w:fldCharType="end"/>
      </w:r>
      <w:r w:rsidRPr="003832ED">
        <w:t xml:space="preserve">. A previous study on Adventist adolescents suggested that the Adventist faith influenced the impact family dynamics have on adolescent attitudes towards alcohol consumption and alcohol consumption status. In the study, adolescents with no Adventist parents compared to one Adventist parent, or both parents who were Adventist had increasingly negative attitudes towards alcohol consumption and lower rates of consuming alcohol </w:t>
      </w:r>
      <w:r w:rsidRPr="003832ED">
        <w:fldChar w:fldCharType="begin"/>
      </w:r>
      <w:r w:rsidRPr="003832ED">
        <w:instrText xml:space="preserve"> ADDIN ZOTERO_ITEM CSL_CITATION {"citationID":"JWdJ4ztV","properties":{"formattedCitation":"(Gane, 2012)","plainCitation":"(Gane, 2012)","noteIndex":0},"citationItems":[{"id":908,"uris":["http://zotero.org/users/1335606/items/ZJVZNK9M"],"uri":["http://zotero.org/users/1335606/items/ZJVZNK9M"],"itemData":{"id":908,"type":"book","title":"Valuegenesis II Study 1 - Core Report","publisher":"Avondale Academic Press","publisher-place":"Cooranbong, Australia","event-place":"Cooranbong, Australia","ISBN":"978-0-9874172-1-3","author":[{"family":"Gane","given":"Barry"}],"issued":{"date-parts":[["2012"]]}}}],"schema":"https://github.com/citation-style-language/schema/raw/master/csl-citation.json"} </w:instrText>
      </w:r>
      <w:r w:rsidRPr="003832ED">
        <w:fldChar w:fldCharType="separate"/>
      </w:r>
      <w:r w:rsidRPr="003832ED">
        <w:rPr>
          <w:noProof/>
        </w:rPr>
        <w:t>(Gane, 2012)</w:t>
      </w:r>
      <w:r w:rsidRPr="003832ED">
        <w:fldChar w:fldCharType="end"/>
      </w:r>
      <w:r w:rsidRPr="003832ED">
        <w:t>.</w:t>
      </w:r>
    </w:p>
    <w:p w14:paraId="25DE773D" w14:textId="77777777" w:rsidR="00453A91" w:rsidRPr="003832ED" w:rsidRDefault="00453A91" w:rsidP="00453A91">
      <w:r w:rsidRPr="003832ED">
        <w:t>The present study employed Structural Equation Modelling (SEM) and applied the TRA and the antecedent childhood experiences ACEs and CFD to examine the direct and indirect association of alcohol consumption operationalized as Alcohol Consumption Status (ACS) among adolescents attending a faith-based school system in Australia. In addition, multi-group SEM analyses were used to more extensively explore gender and age variations in these relationships.</w:t>
      </w:r>
    </w:p>
    <w:p w14:paraId="6291187B" w14:textId="77777777" w:rsidR="00453A91" w:rsidRPr="003832ED" w:rsidRDefault="00453A91" w:rsidP="00453A91">
      <w:pPr>
        <w:pStyle w:val="Heading2"/>
      </w:pPr>
      <w:bookmarkStart w:id="2" w:name="_Toc16539525"/>
      <w:r w:rsidRPr="003832ED">
        <w:t>Methods</w:t>
      </w:r>
      <w:bookmarkEnd w:id="2"/>
    </w:p>
    <w:p w14:paraId="7364FECC" w14:textId="77777777" w:rsidR="00453A91" w:rsidRPr="003832ED" w:rsidRDefault="00453A91" w:rsidP="00453A91">
      <w:pPr>
        <w:pStyle w:val="Heading3"/>
        <w:spacing w:line="240" w:lineRule="auto"/>
      </w:pPr>
      <w:bookmarkStart w:id="3" w:name="_Toc16539526"/>
      <w:r w:rsidRPr="003832ED">
        <w:t>Study Participants</w:t>
      </w:r>
      <w:bookmarkEnd w:id="3"/>
    </w:p>
    <w:p w14:paraId="048FC954" w14:textId="77777777" w:rsidR="00453A91" w:rsidRPr="003832ED" w:rsidRDefault="00453A91" w:rsidP="00453A91">
      <w:r w:rsidRPr="003832ED">
        <w:t xml:space="preserve">In 2012 a survey was administered in 21 private Adventist secondary schools across Australia which cater for both Adventist and non-Adventist students. A total of 4674 students attended Adventist secondary schools (years 7–12) in 2012. Completed responses were received from </w:t>
      </w:r>
      <w:r w:rsidRPr="003832ED">
        <w:lastRenderedPageBreak/>
        <w:t>1266 students (27%) in years seven to twelve. Participation in the study was voluntary and anonymous, and written consent was collected from the students as well as their parents or guardians. The study was approved by the Avondale College of Higher Education Human Research Ethics Committee (</w:t>
      </w:r>
      <w:proofErr w:type="gramStart"/>
      <w:r w:rsidRPr="003832ED">
        <w:t>No:2011:21</w:t>
      </w:r>
      <w:proofErr w:type="gramEnd"/>
      <w:r w:rsidRPr="003832ED">
        <w:t xml:space="preserve">). Approximately 41% of adolescents in Australia attended private secondary schools at the time of the survey with 0.9% attending the Adventist school system </w:t>
      </w:r>
      <w:r w:rsidRPr="003832ED">
        <w:fldChar w:fldCharType="begin"/>
      </w:r>
      <w:r w:rsidRPr="003832ED">
        <w:instrText xml:space="preserve"> ADDIN ZOTERO_ITEM CSL_CITATION {"citationID":"Hm0lIiXZ","properties":{"formattedCitation":"(Australian Bureau of Statistics, 2017)","plainCitation":"(Australian Bureau of Statistics, 2017)","dontUpdate":true,"noteIndex":0},"citationItems":[{"id":2878,"uris":["http://zotero.org/users/1335606/items/AYCF6AEI"],"uri":["http://zotero.org/users/1335606/items/AYCF6AEI"],"itemData":{"id":2878,"type":"webpage","title":"Schools Australia 2017","URL":"http://www.abs.gov.au/AUSSTATS/abs@.nsf/DetailsPage/4221.02017?OpenDocument","author":[{"literal":"Australian Bureau of Statistics"}],"issued":{"date-parts":[["2017"]]}}}],"schema":"https://github.com/citation-style-language/schema/raw/master/csl-citation.json"} </w:instrText>
      </w:r>
      <w:r w:rsidRPr="003832ED">
        <w:fldChar w:fldCharType="separate"/>
      </w:r>
      <w:r w:rsidRPr="003832ED">
        <w:t>(ABS, 2017)</w:t>
      </w:r>
      <w:r w:rsidRPr="003832ED">
        <w:fldChar w:fldCharType="end"/>
      </w:r>
      <w:r w:rsidRPr="003832ED">
        <w:t>.</w:t>
      </w:r>
    </w:p>
    <w:p w14:paraId="1B2B60AD" w14:textId="77777777" w:rsidR="00453A91" w:rsidRPr="003832ED" w:rsidRDefault="00453A91" w:rsidP="00453A91">
      <w:pPr>
        <w:pStyle w:val="Heading3"/>
        <w:spacing w:before="100" w:line="240" w:lineRule="auto"/>
      </w:pPr>
      <w:bookmarkStart w:id="4" w:name="_Toc16539527"/>
      <w:r w:rsidRPr="003832ED">
        <w:t>Survey Instrument</w:t>
      </w:r>
      <w:bookmarkEnd w:id="4"/>
    </w:p>
    <w:p w14:paraId="6A28996C" w14:textId="77777777" w:rsidR="00453A91" w:rsidRPr="003832ED" w:rsidRDefault="00453A91" w:rsidP="00453A91">
      <w:pPr>
        <w:rPr>
          <w:rFonts w:eastAsia="MS Gothic"/>
        </w:rPr>
      </w:pPr>
      <w:r w:rsidRPr="003832ED">
        <w:rPr>
          <w:rFonts w:eastAsia="MS Gothic"/>
        </w:rPr>
        <w:t xml:space="preserve">The survey instrument recorded the participant’s </w:t>
      </w:r>
      <w:r w:rsidRPr="003832ED">
        <w:t>ACS</w:t>
      </w:r>
      <w:r w:rsidRPr="003832ED">
        <w:rPr>
          <w:rFonts w:eastAsia="MS Gothic"/>
        </w:rPr>
        <w:t xml:space="preserve"> as well as: intentions to consume alcohol, attitudes towards alcohol consumption, subjective norms, CFD, ACEs, and personal demographics.</w:t>
      </w:r>
    </w:p>
    <w:p w14:paraId="3292B680" w14:textId="77777777" w:rsidR="00453A91" w:rsidRPr="003832ED" w:rsidRDefault="00453A91" w:rsidP="00453A91">
      <w:pPr>
        <w:pStyle w:val="Heading3"/>
        <w:spacing w:line="240" w:lineRule="auto"/>
      </w:pPr>
      <w:bookmarkStart w:id="5" w:name="_Toc16539528"/>
      <w:r w:rsidRPr="003832ED">
        <w:t>Alcohol Consumption</w:t>
      </w:r>
      <w:bookmarkEnd w:id="5"/>
    </w:p>
    <w:p w14:paraId="4170266A" w14:textId="77777777" w:rsidR="00453A91" w:rsidRPr="003832ED" w:rsidRDefault="00453A91" w:rsidP="00453A91">
      <w:r w:rsidRPr="003832ED">
        <w:rPr>
          <w:rFonts w:eastAsia="MS Gothic"/>
        </w:rPr>
        <w:t xml:space="preserve">Current </w:t>
      </w:r>
      <w:r w:rsidRPr="003832ED">
        <w:t>ACS</w:t>
      </w:r>
      <w:r w:rsidRPr="003832ED">
        <w:rPr>
          <w:rFonts w:eastAsia="MS Gothic"/>
        </w:rPr>
        <w:t xml:space="preserve"> was measured using an item used in previous Australian adolescent studies </w:t>
      </w:r>
      <w:r w:rsidRPr="003832ED">
        <w:rPr>
          <w:rFonts w:eastAsia="MS Gothic"/>
        </w:rPr>
        <w:fldChar w:fldCharType="begin"/>
      </w:r>
      <w:r w:rsidRPr="003832ED">
        <w:rPr>
          <w:rFonts w:eastAsia="MS Gothic"/>
        </w:rPr>
        <w:instrText xml:space="preserve"> ADDIN ZOTERO_ITEM CSL_CITATION {"citationID":"usLspbI4","properties":{"formattedCitation":"(Bowden et al., 2017a; White &amp; Bariola, 2012; V. M. White, Hill, &amp; Segan, 1997)","plainCitation":"(Bowden et al., 2017a; White &amp; Bariola, 2012; V. M. White, Hill, &amp; Segan, 1997)","dontUpdate":true,"noteIndex":0},"citationItems":[{"id":1971,"uris":["http://zotero.org/users/1335606/items/WFDH2XM5"],"uri":["http://zotero.org/users/1335606/items/WFDH2XM5"],"itemData":{"id":1971,"type":"article-journal","title":"Prevalence, perceptions and predictors of alcohol consumption and abstinence among South Australian school students: a cross-sectional analysis","container-title":"BMC Public Health","volume":"17","source":"PubMed Central","abstract":"Background\nAlcohol consumption by young people (particularly early initiation) is a predictor for poorer health in later life. In addition, evidence now clearly shows a causal link between alcohol and cancer. This study investigated prevalence, predictors of alcohol consumption among adolescents including perceptions of the link between alcohol and cancer, and the role of parents and peers.\n\nMethods\nA sample of Australian school students aged 12–17 years participated in a survey (n = 2885). Logistic regression analysis was undertaken to determine predictors.\n\nResults\nAlcohol use increased with age and by 16, most had tried alcohol with 33.1% of students aged 12–17 reporting that they drank at least occasionally (95% CI = 31.0–35.2). Awareness of the link between alcohol and cancer was low (28.5%). Smoking status and friends’ approval were predictive of drinking, whereas parental disapproval was protective. Those aged 14–17 who did not think the link between alcohol and cancer was important were more likely to drink, as were those living in areas of least disadvantage. The only factors that predicted recent drinking were smoking and the perception that alcohol was easy to purchase.\n\nConclusions\nAn education campaign highlighting the link between alcohol and cancer may have positive flow-on effects for young people, and schools should incorporate this messaging into any alcohol education programs. Consideration should be given to factors that serve to regulate under-aged accessibility of alcohol.","URL":"http://www.ncbi.nlm.nih.gov/pmc/articles/PMC5461699/","DOI":"10.1186/s12889-017-4475-5","ISSN":"1471-2458","note":"PMID: 28592268\nPMCID: PMC5461699","title-short":"Prevalence, perceptions and predictors of alcohol consumption and abstinence among South Australian school students","journalAbbreviation":"BMC Public Health","author":[{"family":"Bowden","given":"Jacqueline A."},{"family":"Delfabbro","given":"Paul"},{"family":"Room","given":"Robin"},{"family":"Miller","given":"Caroline L."},{"family":"Wilson","given":"Carlene"}],"issued":{"date-parts":[["2017",6,7]]},"accessed":{"date-parts":[["2017",8,4]]}},"label":"page"},{"id":2117,"uris":["http://zotero.org/users/1335606/items/PSN552ZG"],"uri":["http://zotero.org/users/1335606/items/PSN552ZG"],"itemData":{"id":2117,"type":"report","title":"Australian secondary school students’ use of tobacco, alcohol, and over-the- counter and illicit substances in 2011","publisher":"The Cancer Council Victoria","publisher-place":"Melbourne","event-place":"Melbourne","URL":"http://www.nationaldrugstrategy.gov.au/internet/drugstrategy/Publishing.nsf/content/BCBF6B2C638E1202CA257ACD0020E35C/$File/National%20Report_FINAL_ASSAD_7.12.pdf","author":[{"family":"White","given":""},{"family":"Bariola","given":""}],"issued":{"date-parts":[["2012"]]}},"label":"page"},{"id":2658,"uris":["http://zotero.org/users/1335606/items/MNVQ5EBV"],"uri":["http://zotero.org/users/1335606/items/MNVQ5EBV"],"itemData":{"id":2658,"type":"article-journal","title":"Alcohol use among Australian secondary students in 1993","container-title":"Drug and Alcohol Review","page":"113-122","volume":"16","issue":"2","source":"Taylor and Francis+NEJM","abstract":"The prevalence of alcohol consumption among Australian secondary students in 1993 was estimated from a survey of 22 696 students aged between 12 and 17 years. A random, representative sample of schools from all education systems (government, Catholic and independent) was selected and a sample of 80 students from each school was randomly selected from predetermined year levels. Students completed an anonymous, self-administered survey on their drinking behaviours. Results showed that drinking was common, with 46% of female and 50% of male 17-year-olds having drunk on at least one of the 7 days prior to the survey (defined as current drinkers). Among 12–17-year-olds who were current drinkers, 27% of males had five or more alcoholic drinks on at least one drinking (“heavy drinking”) while 43% of girls had had three or more drinks (“heavy drinking”). Among current drinkers aged 12–15 years, 10% of boys and 12% of girls had “binged” (for boys drinking eight or more drinks in one session, for girls having six or more drinks at one session) while among current drinkers aged 16 and 17 years the corresponding proportions were 33% of boys and 30% of girls. After controlling for age, sex, school type and state, the proportion of 12–15-year-olds who were current drinkers rose from 24% to 26% between 1990 and 1993. Among 16 and 17-year-olds, the proportion of current drinkers in 1993 (47%) was the same as that found in 1990, although there were more heavy drinkers and binge drinkers in 1993 than in 1990.","DOI":"10.1080/09595239700186401","ISSN":"0959-5236","author":[{"family":"White","given":"Victoria M."},{"family":"Hill","given":"David J."},{"family":"Segan","given":"Catherine J."}],"issued":{"date-parts":[["1997",1,1]]}},"label":"page"}],"schema":"https://github.com/citation-style-language/schema/raw/master/csl-citation.json"} </w:instrText>
      </w:r>
      <w:r w:rsidRPr="003832ED">
        <w:rPr>
          <w:rFonts w:eastAsia="MS Gothic"/>
        </w:rPr>
        <w:fldChar w:fldCharType="separate"/>
      </w:r>
      <w:r w:rsidRPr="003832ED">
        <w:rPr>
          <w:rFonts w:eastAsia="MS Gothic"/>
          <w:noProof/>
        </w:rPr>
        <w:t>(Bowden et al., 2017a; White &amp; Bariola, 2012; White, Hill, &amp; Segan, 1997)</w:t>
      </w:r>
      <w:r w:rsidRPr="003832ED">
        <w:rPr>
          <w:rFonts w:eastAsia="MS Gothic"/>
        </w:rPr>
        <w:fldChar w:fldCharType="end"/>
      </w:r>
      <w:r w:rsidRPr="003832ED">
        <w:rPr>
          <w:rFonts w:eastAsia="MS Gothic"/>
        </w:rPr>
        <w:t xml:space="preserve"> that asked: “</w:t>
      </w:r>
      <w:r w:rsidRPr="003832ED">
        <w:rPr>
          <w:rFonts w:eastAsia="MS Gothic"/>
          <w:bCs/>
        </w:rPr>
        <w:t xml:space="preserve">At the present time, do you consider yourself: 1. Non-drinker. 2. Occasional Drinker. 3. Light Drinker. 4. Party Drinker. 5. Heavy Drinker.” </w:t>
      </w:r>
      <w:r w:rsidRPr="003832ED">
        <w:rPr>
          <w:rFonts w:eastAsia="MS Gothic"/>
        </w:rPr>
        <w:t xml:space="preserve">For the purpose of this study, this item was trichotomized to Non-Drink (response 1), Light Drinker (responses 2 and 3) and Heavy Drinker (responses 4 and 5). The authors acknowledge the absence of quantification of this measure, however differences in gender and age using this measure in the above studies are in line with other studies </w:t>
      </w:r>
      <w:r w:rsidRPr="003832ED">
        <w:rPr>
          <w:rFonts w:eastAsia="MS Gothic"/>
        </w:rPr>
        <w:fldChar w:fldCharType="begin"/>
      </w:r>
      <w:r w:rsidRPr="003832ED">
        <w:rPr>
          <w:rFonts w:eastAsia="MS Gothic"/>
        </w:rPr>
        <w:instrText xml:space="preserve"> ADDIN ZOTERO_ITEM CSL_CITATION {"citationID":"QyPLbQKY","properties":{"formattedCitation":"(Australian Institute of Health and Welfare, 2014; Livingston, 2014)","plainCitation":"(Australian Institute of Health and Welfare, 2014; Livingston, 2014)","dontUpdate":true,"noteIndex":0},"citationItems":[{"id":1497,"uris":["http://zotero.org/users/1335606/items/A3XPF9NK"],"uri":["http://zotero.org/users/1335606/items/A3XPF9NK"],"itemData":{"id":1497,"type":"report","title":"National Drug Strategy Household Survey detailed report 2013. Drug statistics series no. 28. Cat. no. PHE 183","publisher":"Author","publisher-place":"Canberra, Australia","genre":"PHE 183","event-place":"Canberra, Australia","URL":"http://www.aihw.gov.au/publication-detail/?id=60129549469","language":"English","author":[{"literal":"Australian Institute of Health and Welfare"}],"issued":{"date-parts":[["2014"]]}},"label":"page"},{"id":2110,"uris":["http://zotero.org/users/1335606/items/TA5I6ZPK"],"uri":["http://zotero.org/users/1335606/items/TA5I6ZPK"],"itemData":{"id":2110,"type":"article-journal","title":"Trends in non-drinking among Australian adolescents","container-title":"Addiction","page":"922-929","volume":"109","issue":"6","source":"Wiley Online Library","abstract":"Background and Aims\n\nRecent evidence suggests that there has been a sharp increase in non-drinking among Australian adolescents. This study aimed to explore the socio-demographic patterns of this increase to identify the potential causal factors.\n\n\nDesign\n\nTwo waves (2001 and 2010) of cross-sectional data from the National Drug Strategy Household Survey, a large-scale population survey. Logistic regression analyses were used to identify significant changes over time, with interaction terms used to test whether trends varied by respondent characteristics.\n\n\nSetting\n\nAustralia.\n\n\nParticipants\n\nRespondents aged 14–17 years (n = 1477 in 2001 and 1075 in 2010).\n\n\nMeasurements\n\nThe key outcome measure was 12-month abstention from alcohol. Socio-demographic variables including sex, age, income, socio-economic status, state and rurality were examined.\n\n\nFindings\n\nRates of abstention increased overall from 32.9% [95% confidence interval (CI) = 30.0–35.7%) to 50.2% (95% CI = 46.7–53.6%) (P &lt; 0.01). Abstention increased significantly across all population subgroups examined.\n\n\nConclusions\n\nA broad change in drinking behaviour has occurred among Australian adolescents in the last decade, with rates of abstention among 14–17-year-olds increasing markedly. Increases in abstention have occurred consistently across a wide range of population subgroups defined by demographic, socio-economic and regional factors.","DOI":"10.1111/add.12524","ISSN":"1360-0443","journalAbbreviation":"Addiction","language":"en","author":[{"family":"Livingston","given":"Michael"}],"issued":{"date-parts":[["2014",6,1]]}},"label":"page"}],"schema":"https://github.com/citation-style-language/schema/raw/master/csl-citation.json"} </w:instrText>
      </w:r>
      <w:r w:rsidRPr="003832ED">
        <w:rPr>
          <w:rFonts w:eastAsia="MS Gothic"/>
        </w:rPr>
        <w:fldChar w:fldCharType="separate"/>
      </w:r>
      <w:r w:rsidRPr="003832ED">
        <w:rPr>
          <w:rFonts w:eastAsia="MS Gothic"/>
          <w:noProof/>
        </w:rPr>
        <w:t>(AIHW, 2014; Livingston, 2014)</w:t>
      </w:r>
      <w:r w:rsidRPr="003832ED">
        <w:rPr>
          <w:rFonts w:eastAsia="MS Gothic"/>
        </w:rPr>
        <w:fldChar w:fldCharType="end"/>
      </w:r>
      <w:r w:rsidRPr="003832ED">
        <w:rPr>
          <w:rFonts w:eastAsia="MS Gothic"/>
        </w:rPr>
        <w:t xml:space="preserve"> measuring alcohol consumption with quantifiable measures.</w:t>
      </w:r>
    </w:p>
    <w:p w14:paraId="067E8927" w14:textId="77777777" w:rsidR="00453A91" w:rsidRPr="003832ED" w:rsidRDefault="00453A91" w:rsidP="00453A91">
      <w:pPr>
        <w:pStyle w:val="Heading3"/>
        <w:spacing w:line="240" w:lineRule="auto"/>
        <w:rPr>
          <w:rFonts w:eastAsia="MS Gothic"/>
          <w:bCs/>
        </w:rPr>
      </w:pPr>
      <w:bookmarkStart w:id="6" w:name="_Toc16539529"/>
      <w:r w:rsidRPr="003832ED">
        <w:t>Intentions to Consume Alcohol</w:t>
      </w:r>
      <w:bookmarkEnd w:id="6"/>
    </w:p>
    <w:p w14:paraId="3F604C13" w14:textId="77777777" w:rsidR="00453A91" w:rsidRPr="003832ED" w:rsidRDefault="00453A91" w:rsidP="00453A91">
      <w:r w:rsidRPr="003832ED">
        <w:rPr>
          <w:rFonts w:eastAsia="MS Gothic"/>
        </w:rPr>
        <w:t>Intention to consume alcohol was measured with the single item asking the participants to respond to the statement “</w:t>
      </w:r>
      <w:r w:rsidRPr="003832ED">
        <w:t>I plan to drink alcohol at my current age” with a choice of five options ranging from “Strongly Disagree” to “Strongly Agree”.</w:t>
      </w:r>
    </w:p>
    <w:p w14:paraId="6C534380" w14:textId="77777777" w:rsidR="00453A91" w:rsidRPr="003832ED" w:rsidRDefault="00453A91" w:rsidP="00453A91">
      <w:pPr>
        <w:pStyle w:val="Heading3"/>
        <w:spacing w:line="240" w:lineRule="auto"/>
      </w:pPr>
      <w:bookmarkStart w:id="7" w:name="_Toc16539530"/>
      <w:r w:rsidRPr="003832ED">
        <w:lastRenderedPageBreak/>
        <w:t>Attitudes towards Alcohol Consumption</w:t>
      </w:r>
      <w:bookmarkEnd w:id="7"/>
    </w:p>
    <w:p w14:paraId="51517418" w14:textId="77777777" w:rsidR="00453A91" w:rsidRPr="003832ED" w:rsidRDefault="00453A91" w:rsidP="00453A91">
      <w:r w:rsidRPr="003832ED">
        <w:rPr>
          <w:rFonts w:eastAsia="MS Gothic"/>
        </w:rPr>
        <w:t xml:space="preserve">Attitudes towards alcohol consumption where measured by asking participants to respond to the following statements: </w:t>
      </w:r>
      <w:r w:rsidRPr="003832ED">
        <w:t xml:space="preserve">“It is ok to drink alcohol at my age”, “Alcohol is harmful to my relationships” and “Alcohol is harmful to my health” with a choice of five options for each statement ranging from “Strongly Disagree” to “Strongly Agree”. The attitudinal items were not combined into a scale so that the individual relationship of each item with ACS could be examined as previously assessed elsewhere </w:t>
      </w:r>
      <w:r w:rsidRPr="003832ED">
        <w:fldChar w:fldCharType="begin"/>
      </w:r>
      <w:r w:rsidRPr="003832ED">
        <w:instrText xml:space="preserve"> ADDIN ZOTERO_ITEM CSL_CITATION {"citationID":"tspz4baR","properties":{"formattedCitation":"(Marcoux &amp; Shope, 1997)","plainCitation":"(Marcoux &amp; Shope, 1997)","noteIndex":0},"citationItems":[{"id":2223,"uris":["http://zotero.org/users/1335606/items/E5RBHERK"],"uri":["http://zotero.org/users/1335606/items/E5RBHERK"],"itemData":{"id":2223,"type":"article-journal","title":"Application of the Theory of Planned Behavior to adolescent use and misuse of alcohol","container-title":"Health Educ. Res.","volume":"12","source":"ResearchGate","abstract":"This research assessed the plausibility and robustness of Ajzen's Theory of Planned Behavior (TPB) in predicting and explaining use, frequency of use and misuse of alcohol among 3946 fifth through eighth grade students in southeastern Michigan. The study also compared the effectiveness of the TPB and the Theory of Reasoned Action (TRA) in predicting intention to use alcohol. Data for this secondary analysis were part of a longitudinal study, and were collected in March and May of 1987. Results provided strong support for the use of the TPB in this context and suggest that the model is fairly robust. All model components reached significance at the 0.05 level. Intention to use alcohol explained up to 26% of the variance in use, 38% of the variance in frequency of use and 30% of the variance in misuse of alcohol. In addition, up to 76% of the variance in intention to use alcohol was explained by attitudes, subjective norms and perceived behavioral control. Although both models were effective in predicting intention to use alcohol, as expected, the TPB was more effective in predicting intention to use alcohol than was the TRA.","DOI":"10.1093/her/12.3.323","author":[{"family":"Marcoux","given":"Beth"},{"family":"Shope","given":"Jean"}],"issued":{"date-parts":[["1997",9,1]]}}}],"schema":"https://github.com/citation-style-language/schema/raw/master/csl-citation.json"} </w:instrText>
      </w:r>
      <w:r w:rsidRPr="003832ED">
        <w:fldChar w:fldCharType="separate"/>
      </w:r>
      <w:r w:rsidRPr="003832ED">
        <w:rPr>
          <w:noProof/>
        </w:rPr>
        <w:t>(Marcoux &amp; Shope, 1997)</w:t>
      </w:r>
      <w:r w:rsidRPr="003832ED">
        <w:fldChar w:fldCharType="end"/>
      </w:r>
      <w:r w:rsidRPr="003832ED">
        <w:t>.</w:t>
      </w:r>
    </w:p>
    <w:p w14:paraId="3CDF9A74" w14:textId="77777777" w:rsidR="00453A91" w:rsidRPr="003832ED" w:rsidRDefault="00453A91" w:rsidP="00453A91">
      <w:pPr>
        <w:pStyle w:val="Heading3"/>
        <w:spacing w:line="240" w:lineRule="auto"/>
        <w:rPr>
          <w:rFonts w:cs="Times New Roman"/>
          <w:b w:val="0"/>
          <w:bCs/>
          <w:i w:val="0"/>
          <w:iCs/>
        </w:rPr>
      </w:pPr>
      <w:bookmarkStart w:id="8" w:name="_Toc16539531"/>
      <w:r w:rsidRPr="003832ED">
        <w:rPr>
          <w:rFonts w:cs="Times New Roman"/>
          <w:bCs/>
          <w:iCs/>
        </w:rPr>
        <w:t>Subjective Norms Surrounding Alcohol Consumption</w:t>
      </w:r>
      <w:bookmarkEnd w:id="8"/>
    </w:p>
    <w:p w14:paraId="693536E5" w14:textId="77777777" w:rsidR="00453A91" w:rsidRPr="003832ED" w:rsidRDefault="00453A91" w:rsidP="00453A91">
      <w:r w:rsidRPr="003832ED">
        <w:rPr>
          <w:rFonts w:eastAsia="MS Gothic"/>
        </w:rPr>
        <w:t xml:space="preserve">Subjective norms relating to alcohol consumption were measured using three items. The first item asked respondents: “In the past month would any of your close friends have used alcohol?” with response options “Yes, some of my friends” and “No, none of my friends”. Items two and three used to measure subjective norms asked participants to respond to the following statements: </w:t>
      </w:r>
      <w:r w:rsidRPr="003832ED">
        <w:t xml:space="preserve">“It is ok for me to say ‘no’ to drinking if </w:t>
      </w:r>
      <w:r w:rsidRPr="003832ED">
        <w:rPr>
          <w:bCs/>
        </w:rPr>
        <w:t xml:space="preserve">friends </w:t>
      </w:r>
      <w:r w:rsidRPr="003832ED">
        <w:t xml:space="preserve">offer me a drink” and “It is ok for me to say ‘no’ to drinking if </w:t>
      </w:r>
      <w:r w:rsidRPr="003832ED">
        <w:rPr>
          <w:bCs/>
        </w:rPr>
        <w:t xml:space="preserve">family members </w:t>
      </w:r>
      <w:r w:rsidRPr="003832ED">
        <w:t xml:space="preserve">offer me a drink”. Responses for these items included five options ranging from “Strongly Disagree” to “Strongly Agree”. The subjective norm items were not combined in a scale so that the individual relationship of each normative item with ACS could be examined as previously assessed elsewhere </w:t>
      </w:r>
      <w:r w:rsidRPr="003832ED">
        <w:fldChar w:fldCharType="begin"/>
      </w:r>
      <w:r w:rsidRPr="003832ED">
        <w:instrText xml:space="preserve"> ADDIN ZOTERO_ITEM CSL_CITATION {"citationID":"4A6vN8c6","properties":{"formattedCitation":"(Marcoux &amp; Shope, 1997)","plainCitation":"(Marcoux &amp; Shope, 1997)","noteIndex":0},"citationItems":[{"id":2223,"uris":["http://zotero.org/users/1335606/items/E5RBHERK"],"uri":["http://zotero.org/users/1335606/items/E5RBHERK"],"itemData":{"id":2223,"type":"article-journal","title":"Application of the Theory of Planned Behavior to adolescent use and misuse of alcohol","container-title":"Health Educ. Res.","volume":"12","source":"ResearchGate","abstract":"This research assessed the plausibility and robustness of Ajzen's Theory of Planned Behavior (TPB) in predicting and explaining use, frequency of use and misuse of alcohol among 3946 fifth through eighth grade students in southeastern Michigan. The study also compared the effectiveness of the TPB and the Theory of Reasoned Action (TRA) in predicting intention to use alcohol. Data for this secondary analysis were part of a longitudinal study, and were collected in March and May of 1987. Results provided strong support for the use of the TPB in this context and suggest that the model is fairly robust. All model components reached significance at the 0.05 level. Intention to use alcohol explained up to 26% of the variance in use, 38% of the variance in frequency of use and 30% of the variance in misuse of alcohol. In addition, up to 76% of the variance in intention to use alcohol was explained by attitudes, subjective norms and perceived behavioral control. Although both models were effective in predicting intention to use alcohol, as expected, the TPB was more effective in predicting intention to use alcohol than was the TRA.","DOI":"10.1093/her/12.3.323","author":[{"family":"Marcoux","given":"Beth"},{"family":"Shope","given":"Jean"}],"issued":{"date-parts":[["1997",9,1]]}}}],"schema":"https://github.com/citation-style-language/schema/raw/master/csl-citation.json"} </w:instrText>
      </w:r>
      <w:r w:rsidRPr="003832ED">
        <w:fldChar w:fldCharType="separate"/>
      </w:r>
      <w:r w:rsidRPr="003832ED">
        <w:rPr>
          <w:noProof/>
        </w:rPr>
        <w:t>(Marcoux &amp; Shope, 1997)</w:t>
      </w:r>
      <w:r w:rsidRPr="003832ED">
        <w:fldChar w:fldCharType="end"/>
      </w:r>
      <w:r w:rsidRPr="003832ED">
        <w:t>.</w:t>
      </w:r>
    </w:p>
    <w:p w14:paraId="3987D877" w14:textId="77777777" w:rsidR="00453A91" w:rsidRPr="003832ED" w:rsidRDefault="00453A91" w:rsidP="00453A91">
      <w:pPr>
        <w:pStyle w:val="Heading3"/>
        <w:spacing w:line="240" w:lineRule="auto"/>
        <w:rPr>
          <w:rFonts w:cs="Times New Roman"/>
          <w:b w:val="0"/>
          <w:bCs/>
          <w:i w:val="0"/>
          <w:iCs/>
        </w:rPr>
      </w:pPr>
      <w:bookmarkStart w:id="9" w:name="_Toc16539532"/>
      <w:r w:rsidRPr="003832ED">
        <w:rPr>
          <w:rFonts w:cs="Times New Roman"/>
          <w:bCs/>
          <w:iCs/>
        </w:rPr>
        <w:t>Childhood Family Dynamics</w:t>
      </w:r>
      <w:bookmarkEnd w:id="9"/>
    </w:p>
    <w:p w14:paraId="2B882EF0" w14:textId="77777777" w:rsidR="00453A91" w:rsidRPr="003832ED" w:rsidRDefault="00453A91" w:rsidP="00453A91">
      <w:pPr>
        <w:widowControl w:val="0"/>
        <w:tabs>
          <w:tab w:val="left" w:pos="220"/>
          <w:tab w:val="left" w:pos="993"/>
        </w:tabs>
        <w:autoSpaceDE w:val="0"/>
        <w:autoSpaceDN w:val="0"/>
        <w:adjustRightInd w:val="0"/>
        <w:rPr>
          <w:rFonts w:eastAsia="MS Gothic"/>
        </w:rPr>
      </w:pPr>
      <w:r w:rsidRPr="003832ED">
        <w:rPr>
          <w:rFonts w:eastAsia="MS Gothic"/>
        </w:rPr>
        <w:t xml:space="preserve">Childhood family dynamics were assessed by creating a CFD score used in a previous study </w:t>
      </w:r>
      <w:r w:rsidRPr="003832ED">
        <w:rPr>
          <w:rFonts w:eastAsia="MS Gothic"/>
        </w:rPr>
        <w:fldChar w:fldCharType="begin"/>
      </w:r>
      <w:r w:rsidRPr="003832ED">
        <w:rPr>
          <w:rFonts w:eastAsia="MS Gothic"/>
        </w:rPr>
        <w:instrText xml:space="preserve"> ADDIN ZOTERO_ITEM CSL_CITATION {"citationID":"GfvGEKQG","properties":{"formattedCitation":"(Craig, Morton, Morey, et al., 2018)","plainCitation":"(Craig, Morton, Morey, et al., 2018)","noteIndex":0},"citationItems":[{"id":2404,"uris":["http://zotero.org/users/1335606/items/9X9VMLNX"],"uri":["http://zotero.org/users/1335606/items/9X9VMLNX"],"itemData":{"id":2404,"type":"article-journal","title":"The association between self-rated health and social environments, health behaviors and health outcomes: a structural equation analysis","container-title":"BMC Public Health","page":"440","volume":"18","source":"BioMed Central","abstract":"The factors shaping the health of the current generation of adolescents are multi-dimensional and complex. The purpose of this study was to explore the determinants of self-rated health (SRH) of adolescents attending a faith-based school system in Australia.","DOI":"10.1186/s12889-018-5323-y","ISSN":"1471-2458","title-short":"The association between self-rated health and social environments, health behaviors and health outcomes","journalAbbreviation":"BMC Public Health","author":[{"family":"Craig","given":"Bevan"},{"family":"Morton","given":"Darren"},{"family":"Morey","given":"Peter"},{"family":"Kent","given":"Lillian"},{"family":"Gane","given":"Barry"},{"family":"Butler","given":"Terry"},{"family":"Rankin","given":"Paul"},{"family":"Price","given":"Kevin"}],"issued":{"date-parts":[["2018",4,3]]}}}],"schema":"https://github.com/citation-style-language/schema/raw/master/csl-citation.json"} </w:instrText>
      </w:r>
      <w:r w:rsidRPr="003832ED">
        <w:rPr>
          <w:rFonts w:eastAsia="MS Gothic"/>
        </w:rPr>
        <w:fldChar w:fldCharType="separate"/>
      </w:r>
      <w:r w:rsidRPr="003832ED">
        <w:rPr>
          <w:rFonts w:eastAsia="MS Gothic"/>
          <w:noProof/>
        </w:rPr>
        <w:t>(Craig, Morton, Morey, et al., 2018)</w:t>
      </w:r>
      <w:r w:rsidRPr="003832ED">
        <w:rPr>
          <w:rFonts w:eastAsia="MS Gothic"/>
        </w:rPr>
        <w:fldChar w:fldCharType="end"/>
      </w:r>
      <w:r w:rsidRPr="003832ED">
        <w:rPr>
          <w:rFonts w:eastAsia="MS Gothic"/>
        </w:rPr>
        <w:t xml:space="preserve"> from six items: “As a child, my parents showed me love”; “</w:t>
      </w:r>
      <w:r w:rsidRPr="003832ED">
        <w:rPr>
          <w:color w:val="000000"/>
        </w:rPr>
        <w:t xml:space="preserve">As a child, my parents understood me”; “While I was a child my family had a lot of fun”; “As a child, my parents didn’t trust me”; “As a child, my parents didn’t care what I did”; and, “As a child, I enjoyed being at home with my family.” Each item included five </w:t>
      </w:r>
      <w:r w:rsidRPr="003832ED">
        <w:rPr>
          <w:color w:val="000000"/>
        </w:rPr>
        <w:lastRenderedPageBreak/>
        <w:t xml:space="preserve">options </w:t>
      </w:r>
      <w:r w:rsidRPr="003832ED">
        <w:rPr>
          <w:rFonts w:eastAsia="MS Gothic"/>
        </w:rPr>
        <w:t>ranging from “Strongly disagree” to “Strongly agree.” Each response was given a corresponding value from one to five with</w:t>
      </w:r>
      <w:r w:rsidRPr="003832ED">
        <w:rPr>
          <w:color w:val="000000"/>
        </w:rPr>
        <w:t xml:space="preserve"> higher scores representing increasingly positive outcomes. Responses from each item </w:t>
      </w:r>
      <w:r w:rsidRPr="003832ED">
        <w:rPr>
          <w:rFonts w:eastAsia="MS Gothic"/>
        </w:rPr>
        <w:t>were summed to calculate an overall CFD score.</w:t>
      </w:r>
    </w:p>
    <w:p w14:paraId="227D81A2" w14:textId="77777777" w:rsidR="00453A91" w:rsidRPr="003832ED" w:rsidRDefault="00453A91" w:rsidP="00453A91">
      <w:pPr>
        <w:pStyle w:val="Heading3"/>
        <w:spacing w:before="100" w:line="240" w:lineRule="auto"/>
        <w:rPr>
          <w:rFonts w:cs="Times New Roman"/>
          <w:b w:val="0"/>
          <w:bCs/>
          <w:i w:val="0"/>
          <w:iCs/>
        </w:rPr>
      </w:pPr>
      <w:bookmarkStart w:id="10" w:name="_Toc16539533"/>
      <w:r w:rsidRPr="003832ED">
        <w:rPr>
          <w:rFonts w:cs="Times New Roman"/>
          <w:bCs/>
          <w:iCs/>
        </w:rPr>
        <w:t>Adverse Childhood Experiences</w:t>
      </w:r>
      <w:bookmarkEnd w:id="10"/>
    </w:p>
    <w:p w14:paraId="43E2F287" w14:textId="77777777" w:rsidR="00453A91" w:rsidRPr="003832ED" w:rsidRDefault="00453A91" w:rsidP="00453A91">
      <w:pPr>
        <w:widowControl w:val="0"/>
        <w:tabs>
          <w:tab w:val="left" w:pos="220"/>
          <w:tab w:val="left" w:pos="993"/>
        </w:tabs>
        <w:autoSpaceDE w:val="0"/>
        <w:autoSpaceDN w:val="0"/>
        <w:adjustRightInd w:val="0"/>
        <w:rPr>
          <w:rFonts w:eastAsia="MS Gothic"/>
        </w:rPr>
      </w:pPr>
      <w:r w:rsidRPr="003832ED">
        <w:rPr>
          <w:rFonts w:eastAsia="MS Gothic"/>
        </w:rPr>
        <w:t xml:space="preserve">In this study, an adapted ACEs score as described elsewhere </w:t>
      </w:r>
      <w:r w:rsidRPr="003832ED">
        <w:fldChar w:fldCharType="begin"/>
      </w:r>
      <w:r w:rsidRPr="003832ED">
        <w:instrText xml:space="preserve"> ADDIN ZOTERO_ITEM CSL_CITATION {"citationID":"YXT6iNDG","properties":{"formattedCitation":"(Felitti et al., 1998)","plainCitation":"(Felitti et al., 1998)","noteIndex":0},"citationItems":[{"id":1923,"uris":["http://zotero.org/users/1335606/items/JT6GKQF9"],"uri":["http://zotero.org/users/1335606/items/JT6GKQF9"],"itemData":{"id":1923,"type":"article-journal","title":"Relationship of childhood abuse and household dysfunction to many of the leading causes of death in adults","container-title":"American Journal of Preventive Medicine","page":"245-258","volume":"14","issue":"4","source":"www.ajpmonline.org","DOI":"10.1016/S0749-3797(98)00017-8","ISSN":"0749-3797, 1873-2607","journalAbbreviation":"American Journal of Preventive Medicine","language":"English","author":[{"family":"Felitti","given":"Vincent J."},{"family":"Anda","given":"Robert F."},{"family":"Nordenberg","given":"Dale"},{"family":"Williamson","given":"David F."},{"family":"Spitz","given":"Alison M."},{"family":"Edwards","given":"Valerie"},{"family":"Koss","given":"Mary P."},{"family":"Marks","given":"James S."}],"issued":{"date-parts":[["1998",5,1]]}}}],"schema":"https://github.com/citation-style-language/schema/raw/master/csl-citation.json"} </w:instrText>
      </w:r>
      <w:r w:rsidRPr="003832ED">
        <w:fldChar w:fldCharType="separate"/>
      </w:r>
      <w:r w:rsidRPr="003832ED">
        <w:rPr>
          <w:noProof/>
        </w:rPr>
        <w:t>(Felitti et al., 1998)</w:t>
      </w:r>
      <w:r w:rsidRPr="003832ED">
        <w:fldChar w:fldCharType="end"/>
      </w:r>
      <w:r w:rsidRPr="003832ED">
        <w:t xml:space="preserve"> and used in a prior study </w:t>
      </w:r>
      <w:r w:rsidRPr="003832ED">
        <w:fldChar w:fldCharType="begin"/>
      </w:r>
      <w:r w:rsidRPr="003832ED">
        <w:instrText xml:space="preserve"> ADDIN ZOTERO_ITEM CSL_CITATION {"citationID":"7QQLo8D2","properties":{"formattedCitation":"(Craig, Morton, Morey, et al., 2018)","plainCitation":"(Craig, Morton, Morey, et al., 2018)","noteIndex":0},"citationItems":[{"id":2404,"uris":["http://zotero.org/users/1335606/items/9X9VMLNX"],"uri":["http://zotero.org/users/1335606/items/9X9VMLNX"],"itemData":{"id":2404,"type":"article-journal","title":"The association between self-rated health and social environments, health behaviors and health outcomes: a structural equation analysis","container-title":"BMC Public Health","page":"440","volume":"18","source":"BioMed Central","abstract":"The factors shaping the health of the current generation of adolescents are multi-dimensional and complex. The purpose of this study was to explore the determinants of self-rated health (SRH) of adolescents attending a faith-based school system in Australia.","DOI":"10.1186/s12889-018-5323-y","ISSN":"1471-2458","title-short":"The association between self-rated health and social environments, health behaviors and health outcomes","journalAbbreviation":"BMC Public Health","author":[{"family":"Craig","given":"Bevan"},{"family":"Morton","given":"Darren"},{"family":"Morey","given":"Peter"},{"family":"Kent","given":"Lillian"},{"family":"Gane","given":"Barry"},{"family":"Butler","given":"Terry"},{"family":"Rankin","given":"Paul"},{"family":"Price","given":"Kevin"}],"issued":{"date-parts":[["2018",4,3]]}}}],"schema":"https://github.com/citation-style-language/schema/raw/master/csl-citation.json"} </w:instrText>
      </w:r>
      <w:r w:rsidRPr="003832ED">
        <w:fldChar w:fldCharType="separate"/>
      </w:r>
      <w:r w:rsidRPr="003832ED">
        <w:rPr>
          <w:noProof/>
        </w:rPr>
        <w:t>(Craig, Morton, Morey, et al., 2018)</w:t>
      </w:r>
      <w:r w:rsidRPr="003832ED">
        <w:fldChar w:fldCharType="end"/>
      </w:r>
      <w:r w:rsidRPr="003832ED">
        <w:t xml:space="preserve"> </w:t>
      </w:r>
      <w:r w:rsidRPr="003832ED">
        <w:rPr>
          <w:rFonts w:eastAsia="MS Gothic"/>
        </w:rPr>
        <w:t>was generated by collating the responses from the following nine items:</w:t>
      </w:r>
      <w:r w:rsidRPr="003832ED">
        <w:rPr>
          <w:color w:val="000000"/>
        </w:rPr>
        <w:t xml:space="preserve"> “One or both of my parents were in trouble with the law”; “My parents were separated or divorced”; “One or both my parents died”; “One or both parents were absent from home for long periods”; “There were times when family violence occurred”; “There were times when I was physically abused”; “There were times when I was sexually abused”;</w:t>
      </w:r>
      <w:r w:rsidRPr="003832ED">
        <w:rPr>
          <w:rFonts w:eastAsia="MS Gothic"/>
        </w:rPr>
        <w:t xml:space="preserve"> “</w:t>
      </w:r>
      <w:r w:rsidRPr="003832ED">
        <w:rPr>
          <w:color w:val="000000"/>
        </w:rPr>
        <w:t>One or both parents smoked tobacco</w:t>
      </w:r>
      <w:r w:rsidRPr="003832ED">
        <w:rPr>
          <w:rFonts w:eastAsia="MS Gothic"/>
        </w:rPr>
        <w:t>”; and, “</w:t>
      </w:r>
      <w:r w:rsidRPr="003832ED">
        <w:rPr>
          <w:color w:val="000000"/>
        </w:rPr>
        <w:t xml:space="preserve">One or both parents drank alcohol weekly or more often.” Each item included no/yes response options which were given a corresponding value of zero or one. Responses from each item were </w:t>
      </w:r>
      <w:r w:rsidRPr="003832ED">
        <w:rPr>
          <w:rFonts w:eastAsia="MS Gothic"/>
        </w:rPr>
        <w:t xml:space="preserve">summed to calculate an overall ACEs score. It is acknowledged that the item asking about parent’s consumption of weekly alcohol may not equate to an ACE directly, however, may be associated with parental absence or other potential harms. </w:t>
      </w:r>
    </w:p>
    <w:p w14:paraId="747EF43D" w14:textId="77777777" w:rsidR="00453A91" w:rsidRPr="003832ED" w:rsidRDefault="00453A91" w:rsidP="00453A91">
      <w:pPr>
        <w:pStyle w:val="Heading3"/>
        <w:snapToGrid w:val="0"/>
        <w:spacing w:before="100" w:line="240" w:lineRule="auto"/>
        <w:rPr>
          <w:rFonts w:cs="Times New Roman"/>
          <w:b w:val="0"/>
          <w:bCs/>
          <w:i w:val="0"/>
          <w:iCs/>
        </w:rPr>
      </w:pPr>
      <w:bookmarkStart w:id="11" w:name="_Toc16539534"/>
      <w:r w:rsidRPr="003832ED">
        <w:rPr>
          <w:rFonts w:cs="Times New Roman"/>
          <w:bCs/>
          <w:iCs/>
        </w:rPr>
        <w:t>Religious Affiliation</w:t>
      </w:r>
      <w:bookmarkEnd w:id="11"/>
    </w:p>
    <w:p w14:paraId="456CC823" w14:textId="77777777" w:rsidR="00453A91" w:rsidRPr="003832ED" w:rsidRDefault="00453A91" w:rsidP="00453A91">
      <w:pPr>
        <w:rPr>
          <w:b/>
          <w:bCs/>
          <w:i/>
          <w:iCs/>
        </w:rPr>
      </w:pPr>
      <w:r w:rsidRPr="003832ED">
        <w:t>Religious affiliation was included in this study due to the special nature of the sample. Religious affiliation was assessed by asking the participants: “</w:t>
      </w:r>
      <w:r w:rsidRPr="003832ED">
        <w:rPr>
          <w:bCs/>
        </w:rPr>
        <w:t>Which of the following best describes your religious belief now?” Options ranged from:</w:t>
      </w:r>
      <w:r w:rsidRPr="003832ED">
        <w:t xml:space="preserve"> 1. Seventh-day Adventist Christian; 2. Other Christian; 3. Other Religion; 4. No Formal Religion; and 5. Don’t Know. For the purpose of this study, this item was dichotomized to Adventist (response 1) and not Adventist (responses 2-4).</w:t>
      </w:r>
    </w:p>
    <w:p w14:paraId="7946C9D8" w14:textId="77777777" w:rsidR="00453A91" w:rsidRPr="003832ED" w:rsidRDefault="00453A91" w:rsidP="00453A91">
      <w:pPr>
        <w:widowControl w:val="0"/>
        <w:tabs>
          <w:tab w:val="left" w:pos="220"/>
          <w:tab w:val="left" w:pos="993"/>
        </w:tabs>
        <w:autoSpaceDE w:val="0"/>
        <w:autoSpaceDN w:val="0"/>
        <w:adjustRightInd w:val="0"/>
        <w:rPr>
          <w:rFonts w:eastAsia="MS Gothic"/>
        </w:rPr>
      </w:pPr>
    </w:p>
    <w:p w14:paraId="2BBA4939" w14:textId="77777777" w:rsidR="00453A91" w:rsidRPr="003832ED" w:rsidRDefault="00453A91" w:rsidP="00453A91">
      <w:pPr>
        <w:pStyle w:val="Heading2"/>
        <w:spacing w:before="100"/>
      </w:pPr>
      <w:bookmarkStart w:id="12" w:name="_Toc16539535"/>
      <w:r w:rsidRPr="003832ED">
        <w:lastRenderedPageBreak/>
        <w:t>Analysis</w:t>
      </w:r>
      <w:bookmarkEnd w:id="12"/>
    </w:p>
    <w:p w14:paraId="2497DCF6" w14:textId="77777777" w:rsidR="00453A91" w:rsidRPr="003832ED" w:rsidRDefault="00453A91" w:rsidP="00453A91">
      <w:r w:rsidRPr="003832ED">
        <w:t xml:space="preserve">The objective of this study was to examine the direct and indirect predictors of alcohol consumption employing SEM. A hypothesized model informed by the literature and the TRA </w:t>
      </w:r>
      <w:r w:rsidRPr="003832ED">
        <w:fldChar w:fldCharType="begin"/>
      </w:r>
      <w:r w:rsidRPr="003832ED">
        <w:instrText xml:space="preserve"> ADDIN ZOTERO_ITEM CSL_CITATION {"citationID":"NrF7bySR","properties":{"formattedCitation":"(Ajzen &amp; Fishbein, 1980)","plainCitation":"(Ajzen &amp; Fishbein, 1980)","noteIndex":0},"citationItems":[{"id":2680,"uris":["http://zotero.org/users/1335606/items/WSSDHC4W"],"uri":["http://zotero.org/users/1335606/items/WSSDHC4W"],"itemData":{"id":2680,"type":"book","title":"Understanding Attitudes and Predicting Social Behavior","publisher":"Pearson","publisher-place":"Englewood Cliffs, N.J","number-of-pages":"288","edition":"1 edition","source":"Amazon","event-place":"Englewood Cliffs, N.J","abstract":"Core text in attitude courses. Explains \"theory and reasoned action\" model and then applies the model to various cases.","ISBN":"978-0-13-936435-8","language":"English","author":[{"family":"Ajzen","given":"Icek"},{"family":"Fishbein","given":"Martin"}],"issued":{"date-parts":[["1980",3,17]]}}}],"schema":"https://github.com/citation-style-language/schema/raw/master/csl-citation.json"} </w:instrText>
      </w:r>
      <w:r w:rsidRPr="003832ED">
        <w:fldChar w:fldCharType="separate"/>
      </w:r>
      <w:r w:rsidRPr="003832ED">
        <w:rPr>
          <w:noProof/>
        </w:rPr>
        <w:t>(Ajzen &amp; Fishbein, 1980)</w:t>
      </w:r>
      <w:r w:rsidRPr="003832ED">
        <w:fldChar w:fldCharType="end"/>
      </w:r>
      <w:r w:rsidRPr="003832ED">
        <w:t xml:space="preserve"> is presented in Figure 10 for analysis.</w:t>
      </w:r>
    </w:p>
    <w:p w14:paraId="71048741" w14:textId="77777777" w:rsidR="00453A91" w:rsidRPr="003832ED" w:rsidRDefault="00453A91" w:rsidP="00453A91">
      <w:pPr>
        <w:jc w:val="center"/>
      </w:pPr>
      <w:r w:rsidRPr="003832ED">
        <w:rPr>
          <w:noProof/>
        </w:rPr>
        <w:drawing>
          <wp:inline distT="0" distB="0" distL="0" distR="0" wp14:anchorId="4A2936A1" wp14:editId="2A21A1D8">
            <wp:extent cx="5727700" cy="2944495"/>
            <wp:effectExtent l="0" t="0" r="0" b="1905"/>
            <wp:docPr id="21" name="Picture 2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Diagram&#10;&#10;Description automatically generated"/>
                    <pic:cNvPicPr/>
                  </pic:nvPicPr>
                  <pic:blipFill>
                    <a:blip r:embed="rId8" cstate="screen">
                      <a:extLst>
                        <a:ext uri="{28A0092B-C50C-407E-A947-70E740481C1C}">
                          <a14:useLocalDpi xmlns:a14="http://schemas.microsoft.com/office/drawing/2010/main"/>
                        </a:ext>
                      </a:extLst>
                    </a:blip>
                    <a:stretch>
                      <a:fillRect/>
                    </a:stretch>
                  </pic:blipFill>
                  <pic:spPr>
                    <a:xfrm>
                      <a:off x="0" y="0"/>
                      <a:ext cx="5727700" cy="2944495"/>
                    </a:xfrm>
                    <a:prstGeom prst="rect">
                      <a:avLst/>
                    </a:prstGeom>
                  </pic:spPr>
                </pic:pic>
              </a:graphicData>
            </a:graphic>
          </wp:inline>
        </w:drawing>
      </w:r>
    </w:p>
    <w:p w14:paraId="55C5CA2A" w14:textId="77777777" w:rsidR="00453A91" w:rsidRPr="003832ED" w:rsidRDefault="00453A91" w:rsidP="00453A91">
      <w:pPr>
        <w:rPr>
          <w:i/>
        </w:rPr>
      </w:pPr>
      <w:bookmarkStart w:id="13" w:name="_Toc4339148"/>
      <w:r w:rsidRPr="003832ED">
        <w:rPr>
          <w:i/>
        </w:rPr>
        <w:t xml:space="preserve">Figure </w:t>
      </w:r>
      <w:r w:rsidRPr="003832ED">
        <w:rPr>
          <w:i/>
        </w:rPr>
        <w:fldChar w:fldCharType="begin"/>
      </w:r>
      <w:r w:rsidRPr="003832ED">
        <w:rPr>
          <w:i/>
        </w:rPr>
        <w:instrText xml:space="preserve"> SEQ Figure \* ARABIC </w:instrText>
      </w:r>
      <w:r w:rsidRPr="003832ED">
        <w:rPr>
          <w:i/>
        </w:rPr>
        <w:fldChar w:fldCharType="separate"/>
      </w:r>
      <w:r w:rsidRPr="003832ED">
        <w:rPr>
          <w:i/>
          <w:noProof/>
        </w:rPr>
        <w:t>10</w:t>
      </w:r>
      <w:r w:rsidRPr="003832ED">
        <w:rPr>
          <w:i/>
        </w:rPr>
        <w:fldChar w:fldCharType="end"/>
      </w:r>
      <w:r w:rsidRPr="003832ED">
        <w:rPr>
          <w:i/>
        </w:rPr>
        <w:t xml:space="preserve">. </w:t>
      </w:r>
      <w:r w:rsidRPr="003832ED">
        <w:t>Hypothesised model predicting alcohol consumption status</w:t>
      </w:r>
      <w:bookmarkEnd w:id="13"/>
    </w:p>
    <w:p w14:paraId="1FE98959" w14:textId="77777777" w:rsidR="00453A91" w:rsidRPr="003832ED" w:rsidRDefault="00453A91" w:rsidP="00453A91">
      <w:r w:rsidRPr="003832ED">
        <w:t xml:space="preserve">The most proximal explanatory variables were intentions to consume alcohol followed by attitudes towards alcohol consumption and subjective norms. The distal variables included childhood experiences. </w:t>
      </w:r>
      <w:r w:rsidRPr="003832ED">
        <w:rPr>
          <w:rFonts w:eastAsia="MS Gothic"/>
          <w:color w:val="000000"/>
        </w:rPr>
        <w:t xml:space="preserve">The data were imported into SPSS (version 24; IBM, Armonk, NY) to calculate means, standard deviations, distributions and internal reliability. </w:t>
      </w:r>
      <w:r w:rsidRPr="003832ED">
        <w:t xml:space="preserve">Structural equation </w:t>
      </w:r>
      <w:proofErr w:type="spellStart"/>
      <w:r w:rsidRPr="003832ED">
        <w:t>modeling</w:t>
      </w:r>
      <w:proofErr w:type="spellEnd"/>
      <w:r w:rsidRPr="003832ED">
        <w:t xml:space="preserve"> using AMOS (Versions 24; Amos Development Corporation, Crawfordville, FL, USA) was conducted to estimate the model fit of the data in the hypothesized model (Figure 1) and simultaneously </w:t>
      </w:r>
      <w:proofErr w:type="spellStart"/>
      <w:r w:rsidRPr="003832ED">
        <w:t>analyze</w:t>
      </w:r>
      <w:proofErr w:type="spellEnd"/>
      <w:r w:rsidRPr="003832ED">
        <w:t xml:space="preserve"> the direct and indirect effects of the explanatory variables on the outcome variable </w:t>
      </w:r>
      <w:r w:rsidRPr="003832ED">
        <w:fldChar w:fldCharType="begin"/>
      </w:r>
      <w:r w:rsidRPr="003832ED">
        <w:instrText xml:space="preserve"> ADDIN ZOTERO_ITEM CSL_CITATION {"citationID":"QghLQJiA","properties":{"formattedCitation":"(Bucy &amp; Holbert, 2014)","plainCitation":"(Bucy &amp; Holbert, 2014)","noteIndex":0},"citationItems":[{"id":1803,"uris":["http://zotero.org/users/1335606/items/TPZXTG2I"],"uri":["http://zotero.org/users/1335606/items/TPZXTG2I"],"itemData":{"id":1803,"type":"book","title":"Sourcebook for Political Communication Research: Methods, Measures, and Analytical Techniques","publisher":"Routledge","number-of-pages":"608","source":"Google Books","abstract":"The Sourcebook for Political Communication Research will offer scholars, students, researchers, and other interested readers a comprehensive source for state-of-the-art/field research methods, measures, and analytical techniques in the field of political communication.  The need for this Sourcebook stems from recent innovations in political communication involving the use of advanced statistical techniques, innovative conceptual frameworks, the rise of digital media as both a means by which to disseminate and study political communication, and methods recently adapted from other disciplines, particularly psychology, sociology, and neuroscience. Chapters will have a social-scientific orientation and will explain new methodologies and measures applicable to questions regarding media, politics, and civic life. The Sourcebook covers the major analytical techniques used in political communication research, including surveys (both original data collections and secondary analyses), experiments, content analysis, discourse analysis (focus groups and textual analysis), network and deliberation analysis, comparative study designs, statistical analysis, and measurement issues.","ISBN":"978-1-317-70934-3","note":"Google-Books-ID: 3Je3AwAAQBAJ","title-short":"Sourcebook for Political Communication Research","language":"en","author":[{"family":"Bucy","given":"Erik P."},{"family":"Holbert","given":"R. Lance"}],"issued":{"date-parts":[["2014",6,3]]}}}],"schema":"https://github.com/citation-style-language/schema/raw/master/csl-citation.json"} </w:instrText>
      </w:r>
      <w:r w:rsidRPr="003832ED">
        <w:fldChar w:fldCharType="separate"/>
      </w:r>
      <w:r w:rsidRPr="003832ED">
        <w:rPr>
          <w:noProof/>
        </w:rPr>
        <w:t>(Bucy &amp; Holbert, 2014)</w:t>
      </w:r>
      <w:r w:rsidRPr="003832ED">
        <w:fldChar w:fldCharType="end"/>
      </w:r>
      <w:r w:rsidRPr="003832ED">
        <w:t xml:space="preserve">. This was done using techniques developed by </w:t>
      </w:r>
      <w:proofErr w:type="spellStart"/>
      <w:r w:rsidRPr="003832ED">
        <w:t>Jöreskog</w:t>
      </w:r>
      <w:proofErr w:type="spellEnd"/>
      <w:r w:rsidRPr="003832ED">
        <w:t xml:space="preserve"> and </w:t>
      </w:r>
      <w:proofErr w:type="spellStart"/>
      <w:r w:rsidRPr="003832ED">
        <w:t>Sörbom</w:t>
      </w:r>
      <w:proofErr w:type="spellEnd"/>
      <w:r w:rsidRPr="003832ED">
        <w:t xml:space="preserve"> </w:t>
      </w:r>
      <w:r w:rsidRPr="003832ED">
        <w:fldChar w:fldCharType="begin" w:fldLock="1"/>
      </w:r>
      <w:r w:rsidRPr="003832ED">
        <w:instrText xml:space="preserve"> ADDIN ZOTERO_ITEM CSL_CITATION {"citationID":"xS4phUCf","properties":{"formattedCitation":"(J\\uc0\\u246{}reskog &amp; S\\uc0\\u246{}rbom, 1989)","plainCitation":"(Jöreskog &amp; Sörbom, 1989)","dontUpdate":true,"noteIndex":0},"citationItems":[{"id":2282,"uris":["http://zotero.org/users/1335606/items/NXTQ979K"],"uri":["http://zotero.org/users/1335606/items/NXTQ979K"],"itemData":{"id":2282,"type":"book","title":"LISREL 8: A Guide to Program and Applications","publisher":"SPSS","publisher-place":"Chicago","event-place":"Chicago","author":[{"family":"Jöreskog","given":"K.G"},{"family":"Sörbom","given":"D"}],"issued":{"date-parts":[["1989"]]}}}],"schema":"https://github.com/citation-style-language/schema/raw/master/csl-citation.json"} </w:instrText>
      </w:r>
      <w:r w:rsidRPr="003832ED">
        <w:fldChar w:fldCharType="separate"/>
      </w:r>
      <w:r w:rsidRPr="003832ED">
        <w:t>(1989)</w:t>
      </w:r>
      <w:r w:rsidRPr="003832ED">
        <w:fldChar w:fldCharType="end"/>
      </w:r>
      <w:r w:rsidRPr="003832ED">
        <w:t xml:space="preserve"> which involved an iterative process of inspection of the statistical significance of path coefficients and theoretical </w:t>
      </w:r>
      <w:r w:rsidRPr="003832ED">
        <w:lastRenderedPageBreak/>
        <w:t>relevance of the constructs in the model to derive an optimal SEM that best fit the dataset and was theoretically meaningful. Overall model fit was examined using multiple goodness-of-fit indices, namely: relative X</w:t>
      </w:r>
      <w:r w:rsidRPr="003832ED">
        <w:rPr>
          <w:vertAlign w:val="superscript"/>
        </w:rPr>
        <w:t>2</w:t>
      </w:r>
      <w:r w:rsidRPr="003832ED">
        <w:t xml:space="preserve"> (CMIN/DF), baseline comparisons fit indices of normative fit index (NFI), relative fit index (RFI), incremental fit index (IFI), Tucker-Lewis Index (TLI), comparative fit index (CFI), and root mean square error of approximation (RMSEA). A CMIN/DF statistic below three is considered good model fit </w:t>
      </w:r>
      <w:r w:rsidRPr="003832ED">
        <w:fldChar w:fldCharType="begin"/>
      </w:r>
      <w:r w:rsidRPr="003832ED">
        <w:instrText xml:space="preserve"> ADDIN ZOTERO_ITEM CSL_CITATION {"citationID":"Z7KAMH4P","properties":{"formattedCitation":"(Kline, 2010)","plainCitation":"(Kline, 2010)","noteIndex":0},"citationItems":[{"id":1952,"uris":["http://zotero.org/users/1335606/items/9HTFZ8KV"],"uri":["http://zotero.org/users/1335606/items/9HTFZ8KV"],"itemData":{"id":1952,"type":"book","title":"Principles and Practice of Structural Equation Modeling, Third Edition","publisher":"The Guilford Press","publisher-place":"New York","number-of-pages":"427","edition":"3rd edition","source":"Amazon","event-place":"New York","abstract":"This bestselling text provides a balance between the technical and practical aspects of structural equation modeling (SEM). Using clear and accessible language, Rex B. Kline covers core techniques, potential pitfalls, and applications across the behavioral and social sciences. Some more advanced topics are also covered, including estimation of interactive effects of latent variables and multilevel SEM. The companion Web page offers downloadable syntax, data, and output files for each detailed example for EQS, LISREL, and Mplus, allowing readers to view the results of the same analysis generated by three different computer tools.   New to This Edition *Thoroughly revised and restructured to follow the phases of most SEM analyses. *Syntax, data, and output files for all detailed research examples are now provided online. *Chapter on computer tools. *Exercises with answers, which support self-study. *Topic boxes on specialized issues, such as dealing with problems in the analysis; the assessment of construct measurement reliability; and more. *Updated coverage of a more rigorous approach to hypothesis and model testing; the evaluation of measurement invariance; and more.*”Troublesome” examples have been added to provide a context for discussing how to handle various problems that can crop up in SEM analyses.","ISBN":"978-1-60623-876-9","language":"English","author":[{"family":"Kline","given":"Rex B."}],"issued":{"date-parts":[["2010",8,4]]}}}],"schema":"https://github.com/citation-style-language/schema/raw/master/csl-citation.json"} </w:instrText>
      </w:r>
      <w:r w:rsidRPr="003832ED">
        <w:fldChar w:fldCharType="separate"/>
      </w:r>
      <w:r w:rsidRPr="003832ED">
        <w:rPr>
          <w:noProof/>
        </w:rPr>
        <w:t>(Kline, 2010)</w:t>
      </w:r>
      <w:r w:rsidRPr="003832ED">
        <w:fldChar w:fldCharType="end"/>
      </w:r>
      <w:r w:rsidRPr="003832ED">
        <w:t xml:space="preserve"> as are baseline comparisons fit indices above 0.9 </w:t>
      </w:r>
      <w:r w:rsidRPr="003832ED">
        <w:fldChar w:fldCharType="begin"/>
      </w:r>
      <w:r w:rsidRPr="003832ED">
        <w:instrText xml:space="preserve"> ADDIN ZOTERO_ITEM CSL_CITATION {"citationID":"znYu4jVk","properties":{"formattedCitation":"(Bentler, 1990)","plainCitation":"(Bentler, 1990)","noteIndex":0},"citationItems":[{"id":1954,"uris":["http://zotero.org/users/1335606/items/3QJ628FJ"],"uri":["http://zotero.org/users/1335606/items/3QJ628FJ"],"itemData":{"id":1954,"type":"article-journal","title":"Comparative fit indexes in structural models","container-title":"Psychological Bulletin","page":"238-246","volume":"107","issue":"2","source":"PubMed","abstract":"Normed and nonnormed fit indexes are frequently used as adjuncts to chi-square statistics for evaluating the fit of a structural model. A drawback of existing indexes is that they estimate no known population parameters. A new coefficient is proposed to summarize the relative reduction in the noncentrality parameters of two nested models. Two estimators of the coefficient yield new normed (CFI) and nonnormed (FI) fit indexes. CFI avoids the underestimation of fit often noted in small samples for Bentler and Bonett's (1980) normed fit index (NFI). FI is a linear function of Bentler and Bonett's non-normed fit index (NNFI) that avoids the extreme underestimation and overestimation often found in NNFI. Asymptotically, CFI, FI, NFI, and a new index developed by Bollen are equivalent measures of comparative fit, whereas NNFI measures relative fit by comparing noncentrality per degree of freedom. All of the indexes are generalized to permit use of Wald and Lagrange multiplier statistics. An example illustrates the behavior of these indexes under conditions of correct specification and misspecification. The new fit indexes perform very well at all sample sizes.","DOI":"doi.org/10.1037/0033-2909.107.2.238","ISSN":"0033-2909","note":"PMID: 2320703","journalAbbreviation":"Psychol Bull","language":"eng","author":[{"family":"Bentler","given":"P. M."}],"issued":{"date-parts":[["1990",3]]}}}],"schema":"https://github.com/citation-style-language/schema/raw/master/csl-citation.json"} </w:instrText>
      </w:r>
      <w:r w:rsidRPr="003832ED">
        <w:fldChar w:fldCharType="separate"/>
      </w:r>
      <w:r w:rsidRPr="003832ED">
        <w:rPr>
          <w:noProof/>
        </w:rPr>
        <w:t>(Bentler, 1990)</w:t>
      </w:r>
      <w:r w:rsidRPr="003832ED">
        <w:fldChar w:fldCharType="end"/>
      </w:r>
      <w:r w:rsidRPr="003832ED">
        <w:t xml:space="preserve">. The RMSEA value was less than 0.06, which indicated a close fit between the data and the model </w:t>
      </w:r>
      <w:r w:rsidRPr="003832ED">
        <w:fldChar w:fldCharType="begin"/>
      </w:r>
      <w:r w:rsidRPr="003832ED">
        <w:instrText xml:space="preserve"> ADDIN ZOTERO_ITEM CSL_CITATION {"citationID":"fbpmOzWK","properties":{"formattedCitation":"(L. Hu &amp; Bentler, 1999)","plainCitation":"(L. Hu &amp; Bentler, 1999)","dontUpdate":true,"noteIndex":0},"citationItems":[{"id":1941,"uris":["http://zotero.org/users/1335606/items/5UKCX43U"],"uri":["http://zotero.org/users/1335606/items/5UKCX43U"],"itemData":{"id":1941,"type":"article-journal","title":"Cutoff criteria for fit indexes in covariance structure analysis: Conventional criteria versus new alternatives","container-title":"Structural Equation Modeling: A Multidisciplinary Journal","page":"1-55","volume":"6","issue":"1","source":"Taylor and Francis+NEJM","abstract":"This article examines the adequacy of the “rules of thumb” conventional cutoff criteria and several new alternatives for various fit indexes used to evaluate model fit in practice. Using a 2‐index presentation strategy, which includes using the maximum likelihood (ML)‐based standardized root mean squared residual (SRMR) and supplementing it with either Tucker‐Lewis Index (TLI), Bollen's (1989) Fit Index (BL89), Relative Noncentrality Index (RNI), Comparative Fit Index (CFI), Gamma Hat, McDonald's Centrality Index (Mc), or root mean squared error of approximation (RMSEA), various combinations of cutoff values from selected ranges of cutoff criteria for the ML‐based SRMR and a given supplemental fit index were used to calculate rejection rates for various types of true‐population and misspecified models; that is, models with misspecified factor covariance(s) and models with misspecified factor loading(s). The results suggest that, for the ML method, a cutoff value close to .95 for TLI, BL89, CFI, RNI, and Gamma Hat; a cutoff value close to .90 for Mc; a cutoff value close to .08 for SRMR; and a cutoff value close to .06 for RMSEA are needed before we can conclude that there is a relatively good fit between the hypothesized model and the observed data. Furthermore, the 2‐index presentation strategy is required to reject reasonable proportions of various types of true‐population and misspecified models. Finally, using the proposed cutoff criteria, the ML‐based TLI, Mc, and RMSEA tend to overreject true‐population models at small sample size and thus are less preferable when sample size is small.","DOI":"10.1080/10705519909540118","ISSN":"1070-5511","title-short":"Cutoff criteria for fit indexes in covariance structure analysis","author":[{"family":"Hu","given":"Li-tze"},{"family":"Bentler","given":"Peter M."}],"issued":{"date-parts":[["1999",1,1]]}}}],"schema":"https://github.com/citation-style-language/schema/raw/master/csl-citation.json"} </w:instrText>
      </w:r>
      <w:r w:rsidRPr="003832ED">
        <w:fldChar w:fldCharType="separate"/>
      </w:r>
      <w:r w:rsidRPr="003832ED">
        <w:rPr>
          <w:noProof/>
        </w:rPr>
        <w:t>(Hu &amp; Bentler, 1999)</w:t>
      </w:r>
      <w:r w:rsidRPr="003832ED">
        <w:fldChar w:fldCharType="end"/>
      </w:r>
      <w:r w:rsidRPr="003832ED">
        <w:t xml:space="preserve">. </w:t>
      </w:r>
      <w:r w:rsidRPr="003832ED">
        <w:rPr>
          <w:color w:val="000000"/>
        </w:rPr>
        <w:t xml:space="preserve">Bootstrapping </w:t>
      </w:r>
      <w:r w:rsidRPr="003832ED">
        <w:rPr>
          <w:color w:val="000000"/>
        </w:rPr>
        <w:fldChar w:fldCharType="begin"/>
      </w:r>
      <w:r w:rsidRPr="003832ED">
        <w:rPr>
          <w:color w:val="000000"/>
        </w:rPr>
        <w:instrText xml:space="preserve"> ADDIN ZOTERO_ITEM CSL_CITATION {"citationID":"gHdaPuQp","properties":{"formattedCitation":"(Preacher &amp; Hayes, 2008)","plainCitation":"(Preacher &amp; Hayes, 2008)","noteIndex":0},"citationItems":[{"id":2265,"uris":["http://zotero.org/users/1335606/items/3M6T6K34"],"uri":["http://zotero.org/users/1335606/items/3M6T6K34"],"itemData":{"id":2265,"type":"article-journal","title":"Asymptotic and resampling strategies for assessing and comparing indirect effects in multiple mediator models","container-title":"Behavior Research Methods","page":"879-891","volume":"40","issue":"3","source":"PubMed","abstract":"Hypotheses involving mediation are common in the behavioral sciences. Mediation exists when a predictor affects a dependent variable indirectly through at least one intervening variable, or mediator. Methods to assess mediation involving multiple simultaneous mediators have received little attention in the methodological literature despite a clear need. We provide an overview of simple and multiple mediation and explore three approaches that can be used to investigate indirect processes, as well as methods for contrasting two or more mediators within a single model. We present an illustrative example, assessing and contrasting potential mediators of the relationship between the helpfulness of socialization agents and job satisfaction. We also provide SAS and SPSS macros, as well as Mplus and LISREL syntax, to facilitate the use of these methods in applications.","ISSN":"1554-351X","note":"PMID: 18697684","journalAbbreviation":"Behav Res Methods","language":"eng","author":[{"family":"Preacher","given":"Kristopher J."},{"family":"Hayes","given":"Andrew F."}],"issued":{"date-parts":[["2008",8]]}}}],"schema":"https://github.com/citation-style-language/schema/raw/master/csl-citation.json"} </w:instrText>
      </w:r>
      <w:r w:rsidRPr="003832ED">
        <w:rPr>
          <w:color w:val="000000"/>
        </w:rPr>
        <w:fldChar w:fldCharType="separate"/>
      </w:r>
      <w:r w:rsidRPr="003832ED">
        <w:rPr>
          <w:noProof/>
          <w:color w:val="000000"/>
        </w:rPr>
        <w:t>(Preacher &amp; Hayes, 2008)</w:t>
      </w:r>
      <w:r w:rsidRPr="003832ED">
        <w:rPr>
          <w:color w:val="000000"/>
        </w:rPr>
        <w:fldChar w:fldCharType="end"/>
      </w:r>
      <w:r w:rsidRPr="003832ED">
        <w:rPr>
          <w:color w:val="000000"/>
        </w:rPr>
        <w:t xml:space="preserve"> was applied to verify the statistical significance of indirect effects at p &lt; .05. </w:t>
      </w:r>
      <w:r w:rsidRPr="003832ED">
        <w:t xml:space="preserve">Multi-group analysis was employed to test for gender and age variations among the pathways in the study, as age and gender differences have been observed in previous TRA and alcohol consumption studies </w:t>
      </w:r>
      <w:r w:rsidRPr="003832ED">
        <w:fldChar w:fldCharType="begin"/>
      </w:r>
      <w:r w:rsidRPr="003832ED">
        <w:instrText xml:space="preserve"> ADDIN ZOTERO_ITEM CSL_CITATION {"citationID":"C5GU9dAK","properties":{"formattedCitation":"(Cooke, Dahdah, Norman, &amp; French, 2016)","plainCitation":"(Cooke, Dahdah, Norman, &amp; French, 2016)","noteIndex":0},"citationItems":[{"id":2079,"uris":["http://zotero.org/users/1335606/items/7WJ8T698"],"uri":["http://zotero.org/users/1335606/items/7WJ8T698"],"itemData":{"id":2079,"type":"article-journal","title":"How well does the theory of planned behaviour predict alcohol consumption? A systematic review and meta-analysis","container-title":"Health Psychology Review","page":"148-167","volume":"10","issue":"2","source":"PubMed Central","abstract":"This study aimed to quantify correlations between theory of planned behaviour (TPB) variables and (i) intentions to consume alcohol and (ii) alcohol consumption. Systematic literature searches identified 40 eligible studies that were meta-analysed. Three moderator analyses were conducted: pattern of consumption, gender of participants and age of participants. Across studies, intentions had the strongest relationship with attitudes (r\n+ = .62), followed by subjective norms (r\n+ = .47) and perceived behavioural control (PBC; r\n+ = .31). Self-efficacy (SE) had a stronger relationship with intentions (r\n+ = .48) compared with perceived control (PC; r\n+ = −.10). Intention had the strongest relationship with alcohol consumption (r\n+ = .54), followed by SE (r\n+ = .41). In contrast, PBC and PC had negative relationships with alcohol consumption (r\n+ = −.05 and −.13, respectively). All moderators affected TPB relationships. Patterns of consumption with clear definitions had stronger TPB relations, females reported stronger attitude–intention relations than males, and adults reported stronger attitude–intention and SE–intention relations than adolescents. Recommendations for future research include targeting attitudes and intentions in interventions to reduce alcohol consumption, using clear definitions of alcohol consumption in TPB items to improve prediction and assessing SE when investigating risk behaviours.","DOI":"10.1080/17437199.2014.947547","ISSN":"1743-7199","note":"PMID: 25089611\nPMCID: PMC4867851","title-short":"How well does the theory of planned behaviour predict alcohol consumption?","journalAbbreviation":"Health Psychol Rev","author":[{"family":"Cooke","given":"Richard"},{"family":"Dahdah","given":"Mary"},{"family":"Norman","given":"Paul"},{"family":"French","given":"David P."}],"issued":{"date-parts":[["2016",4,2]]}}}],"schema":"https://github.com/citation-style-language/schema/raw/master/csl-citation.json"} </w:instrText>
      </w:r>
      <w:r w:rsidRPr="003832ED">
        <w:fldChar w:fldCharType="separate"/>
      </w:r>
      <w:r w:rsidRPr="003832ED">
        <w:rPr>
          <w:noProof/>
        </w:rPr>
        <w:t>(Cooke, Dahdah, Norman, &amp; French, 2016)</w:t>
      </w:r>
      <w:r w:rsidRPr="003832ED">
        <w:fldChar w:fldCharType="end"/>
      </w:r>
      <w:r w:rsidRPr="003832ED">
        <w:t xml:space="preserve">. The critical ratios for differences test were applied to assess for regression weight differences in the gender and age groups within the SEM </w:t>
      </w:r>
      <w:r w:rsidRPr="003832ED">
        <w:fldChar w:fldCharType="begin"/>
      </w:r>
      <w:r w:rsidRPr="003832ED">
        <w:instrText xml:space="preserve"> ADDIN ZOTERO_ITEM CSL_CITATION {"citationID":"Umm7yqhr","properties":{"formattedCitation":"(Ho, 2013)","plainCitation":"(Ho, 2013)","noteIndex":0},"citationItems":[{"id":1939,"uris":["http://zotero.org/users/1335606/items/KR2TNB78"],"uri":["http://zotero.org/users/1335606/items/KR2TNB78"],"itemData":{"id":1939,"type":"book","title":"Handbook of Univariate and Multivariate Data Analysis with IBM SPSS, Second Edition","publisher":"Chapman and Hall/CRC","publisher-place":"Boca Raton","number-of-pages":"600","edition":"2 edition","source":"Amazon","event-place":"Boca Raton","abstract":"Using the same accessible, hands-on approach as its best-selling predecessor, the Handbook of Univariate and Multivariate Data Analysis with IBM SPSS, Second Edition explains how to apply statistical tests to experimental findings, identify the assumptions underlying the tests, and interpret the findings. This second edition now covers more topics and has been updated with the SPSS statistical package for Windows. New to the Second Edition   Three new chapters on multiple discriminant analysis, logistic regression, and canonical correlation New section on how to deal with missing data Coverage of tests of assumptions, such as linearity, outliers, normality, homogeneity of variance-covariance matrices, and multicollinearity Discussions of the calculation of Type I error and the procedure for testing statistical significance between two correlation coefficients obtained from two samples  Expanded coverage of factor analysis, path analysis (test of the mediation hypothesis), and structural equation modeling   Suitable for both newcomers and seasoned researchers in the social sciences, the handbook offers a clear guide to selecting the right statistical test, executing a wide range of univariate and multivariate statistical tests via the Windows and syntax methods, and interpreting the output results. The SPSS syntax files used for executing the statistical tests can be found in the appendix. Data sets employed in the examples are available on the book’s CRC Press web page.","ISBN":"978-1-4398-9021-9","language":"English","author":[{"family":"Ho","given":"Robert"}],"issued":{"date-parts":[["2013",10,25]]}}}],"schema":"https://github.com/citation-style-language/schema/raw/master/csl-citation.json"} </w:instrText>
      </w:r>
      <w:r w:rsidRPr="003832ED">
        <w:fldChar w:fldCharType="separate"/>
      </w:r>
      <w:r w:rsidRPr="003832ED">
        <w:rPr>
          <w:noProof/>
        </w:rPr>
        <w:t>(Ho, 2013)</w:t>
      </w:r>
      <w:r w:rsidRPr="003832ED">
        <w:fldChar w:fldCharType="end"/>
      </w:r>
      <w:r w:rsidRPr="003832ED">
        <w:t>.</w:t>
      </w:r>
    </w:p>
    <w:p w14:paraId="5D46D7DF" w14:textId="77777777" w:rsidR="00453A91" w:rsidRPr="003832ED" w:rsidRDefault="00453A91" w:rsidP="00453A91">
      <w:pPr>
        <w:pStyle w:val="Heading2"/>
      </w:pPr>
      <w:bookmarkStart w:id="14" w:name="_Toc16539536"/>
      <w:r w:rsidRPr="003832ED">
        <w:t>Results</w:t>
      </w:r>
      <w:bookmarkEnd w:id="14"/>
    </w:p>
    <w:p w14:paraId="01D47D3A" w14:textId="77777777" w:rsidR="00453A91" w:rsidRPr="003832ED" w:rsidRDefault="00453A91" w:rsidP="00453A91">
      <w:pPr>
        <w:pStyle w:val="Heading3"/>
        <w:spacing w:line="240" w:lineRule="auto"/>
      </w:pPr>
      <w:bookmarkStart w:id="15" w:name="_Toc16539537"/>
      <w:r w:rsidRPr="003832ED">
        <w:t>Descriptive Statistics</w:t>
      </w:r>
      <w:bookmarkEnd w:id="15"/>
    </w:p>
    <w:p w14:paraId="4FD4CD2C" w14:textId="77777777" w:rsidR="00453A91" w:rsidRPr="003832ED" w:rsidRDefault="00453A91" w:rsidP="00453A91">
      <w:r w:rsidRPr="003832ED">
        <w:rPr>
          <w:bCs/>
        </w:rPr>
        <w:t xml:space="preserve">A summary of descriptive statistics and reliability estimates is shown in Table 7. Students ages ranged from 12-18 years, mean age 14.6 years, 56% males and </w:t>
      </w:r>
      <w:r w:rsidRPr="003832ED">
        <w:t>47% of students identified as belonging to the Adventist faith.</w:t>
      </w:r>
      <w:r w:rsidRPr="003832ED">
        <w:rPr>
          <w:bCs/>
        </w:rPr>
        <w:t xml:space="preserve"> </w:t>
      </w:r>
      <w:r w:rsidRPr="003832ED">
        <w:t>Eighty-two per cent of the adolescents in the study reported “non-drinker” status, 12% reported “light drinker” status and 6% “heavy drinker” status. Chi-square analysis indicated a significant difference in the proportion adolescents belonging to the ACS categories with less older adolescents (15–18 years) belonging to the non-drinker category and more belonging to the light drinker and heavy drinker categories compared to younger adolescents (12–14 years) (X</w:t>
      </w:r>
      <w:r w:rsidRPr="003832ED">
        <w:rPr>
          <w:vertAlign w:val="superscript"/>
        </w:rPr>
        <w:t xml:space="preserve">2 </w:t>
      </w:r>
      <w:r w:rsidRPr="003832ED">
        <w:t xml:space="preserve">= 101.6, p &lt; .01). Further, less non-Adventist students belonged to the non-drinker category and more belonged </w:t>
      </w:r>
      <w:r w:rsidRPr="003832ED">
        <w:lastRenderedPageBreak/>
        <w:t>to the light drinker and heavy drinker category compared to Adventist students (X</w:t>
      </w:r>
      <w:r w:rsidRPr="003832ED">
        <w:rPr>
          <w:vertAlign w:val="superscript"/>
        </w:rPr>
        <w:t xml:space="preserve">2 </w:t>
      </w:r>
      <w:r w:rsidRPr="003832ED">
        <w:t>= 44.2, p &lt; .01).</w:t>
      </w:r>
    </w:p>
    <w:p w14:paraId="31CFE62E" w14:textId="77777777" w:rsidR="00453A91" w:rsidRPr="003832ED" w:rsidRDefault="00453A91" w:rsidP="00453A91">
      <w:pPr>
        <w:spacing w:line="240" w:lineRule="auto"/>
        <w:rPr>
          <w:i/>
        </w:rPr>
      </w:pPr>
      <w:bookmarkStart w:id="16" w:name="_Toc4331493"/>
      <w:r w:rsidRPr="003832ED">
        <w:t xml:space="preserve">Table </w:t>
      </w:r>
      <w:r w:rsidRPr="003832ED">
        <w:fldChar w:fldCharType="begin"/>
      </w:r>
      <w:r w:rsidRPr="003832ED">
        <w:instrText xml:space="preserve"> SEQ Table \* ARABIC </w:instrText>
      </w:r>
      <w:r w:rsidRPr="003832ED">
        <w:fldChar w:fldCharType="separate"/>
      </w:r>
      <w:r w:rsidRPr="003832ED">
        <w:rPr>
          <w:noProof/>
        </w:rPr>
        <w:t>7</w:t>
      </w:r>
      <w:r w:rsidRPr="003832ED">
        <w:fldChar w:fldCharType="end"/>
      </w:r>
      <w:r w:rsidRPr="003832ED">
        <w:rPr>
          <w:i/>
        </w:rPr>
        <w:t>. Descriptive Statistics and Scale Reliability of Variables Used in the Analysis</w:t>
      </w:r>
      <w:bookmarkEnd w:id="16"/>
    </w:p>
    <w:tbl>
      <w:tblPr>
        <w:tblStyle w:val="TableGrid"/>
        <w:tblW w:w="9665" w:type="dxa"/>
        <w:tblLook w:val="04A0" w:firstRow="1" w:lastRow="0" w:firstColumn="1" w:lastColumn="0" w:noHBand="0" w:noVBand="1"/>
      </w:tblPr>
      <w:tblGrid>
        <w:gridCol w:w="3964"/>
        <w:gridCol w:w="825"/>
        <w:gridCol w:w="735"/>
        <w:gridCol w:w="804"/>
        <w:gridCol w:w="1039"/>
        <w:gridCol w:w="588"/>
        <w:gridCol w:w="605"/>
        <w:gridCol w:w="1105"/>
      </w:tblGrid>
      <w:tr w:rsidR="00453A91" w:rsidRPr="003832ED" w14:paraId="2C8E542A" w14:textId="77777777" w:rsidTr="00F14F33">
        <w:trPr>
          <w:trHeight w:val="784"/>
        </w:trPr>
        <w:tc>
          <w:tcPr>
            <w:tcW w:w="3964" w:type="dxa"/>
            <w:tcBorders>
              <w:left w:val="nil"/>
              <w:bottom w:val="single" w:sz="4" w:space="0" w:color="auto"/>
              <w:right w:val="nil"/>
            </w:tcBorders>
          </w:tcPr>
          <w:p w14:paraId="0FBE5159" w14:textId="77777777" w:rsidR="00453A91" w:rsidRPr="003832ED" w:rsidRDefault="00453A91" w:rsidP="00F14F33">
            <w:pPr>
              <w:spacing w:line="240" w:lineRule="auto"/>
              <w:rPr>
                <w:b/>
                <w:sz w:val="20"/>
                <w:szCs w:val="20"/>
              </w:rPr>
            </w:pPr>
            <w:r w:rsidRPr="003832ED">
              <w:rPr>
                <w:b/>
                <w:sz w:val="20"/>
                <w:szCs w:val="20"/>
              </w:rPr>
              <w:t>Variables</w:t>
            </w:r>
          </w:p>
        </w:tc>
        <w:tc>
          <w:tcPr>
            <w:tcW w:w="825" w:type="dxa"/>
            <w:tcBorders>
              <w:left w:val="nil"/>
              <w:bottom w:val="single" w:sz="4" w:space="0" w:color="auto"/>
              <w:right w:val="nil"/>
            </w:tcBorders>
          </w:tcPr>
          <w:p w14:paraId="1343869F" w14:textId="77777777" w:rsidR="00453A91" w:rsidRPr="003832ED" w:rsidRDefault="00453A91" w:rsidP="00F14F33">
            <w:pPr>
              <w:spacing w:line="240" w:lineRule="auto"/>
              <w:jc w:val="center"/>
              <w:rPr>
                <w:b/>
                <w:sz w:val="20"/>
                <w:szCs w:val="20"/>
              </w:rPr>
            </w:pPr>
            <w:r w:rsidRPr="003832ED">
              <w:rPr>
                <w:b/>
                <w:sz w:val="20"/>
                <w:szCs w:val="20"/>
              </w:rPr>
              <w:t>N</w:t>
            </w:r>
          </w:p>
        </w:tc>
        <w:tc>
          <w:tcPr>
            <w:tcW w:w="735" w:type="dxa"/>
            <w:tcBorders>
              <w:left w:val="nil"/>
              <w:bottom w:val="single" w:sz="4" w:space="0" w:color="auto"/>
              <w:right w:val="nil"/>
            </w:tcBorders>
          </w:tcPr>
          <w:p w14:paraId="20903996" w14:textId="77777777" w:rsidR="00453A91" w:rsidRPr="003832ED" w:rsidRDefault="00453A91" w:rsidP="00F14F33">
            <w:pPr>
              <w:spacing w:line="240" w:lineRule="auto"/>
              <w:jc w:val="center"/>
              <w:rPr>
                <w:b/>
                <w:sz w:val="20"/>
                <w:szCs w:val="20"/>
              </w:rPr>
            </w:pPr>
            <w:r w:rsidRPr="003832ED">
              <w:rPr>
                <w:b/>
                <w:sz w:val="20"/>
                <w:szCs w:val="20"/>
              </w:rPr>
              <w:t>%</w:t>
            </w:r>
          </w:p>
        </w:tc>
        <w:tc>
          <w:tcPr>
            <w:tcW w:w="804" w:type="dxa"/>
            <w:tcBorders>
              <w:left w:val="nil"/>
              <w:bottom w:val="single" w:sz="4" w:space="0" w:color="auto"/>
              <w:right w:val="nil"/>
            </w:tcBorders>
          </w:tcPr>
          <w:p w14:paraId="57FDEF54" w14:textId="77777777" w:rsidR="00453A91" w:rsidRPr="003832ED" w:rsidRDefault="00453A91" w:rsidP="00F14F33">
            <w:pPr>
              <w:spacing w:line="240" w:lineRule="auto"/>
              <w:jc w:val="center"/>
              <w:rPr>
                <w:b/>
                <w:sz w:val="20"/>
                <w:szCs w:val="20"/>
              </w:rPr>
            </w:pPr>
            <w:r w:rsidRPr="003832ED">
              <w:rPr>
                <w:b/>
                <w:sz w:val="20"/>
                <w:szCs w:val="20"/>
              </w:rPr>
              <w:t>Mean</w:t>
            </w:r>
          </w:p>
        </w:tc>
        <w:tc>
          <w:tcPr>
            <w:tcW w:w="1039" w:type="dxa"/>
            <w:tcBorders>
              <w:left w:val="nil"/>
              <w:bottom w:val="single" w:sz="4" w:space="0" w:color="auto"/>
              <w:right w:val="nil"/>
            </w:tcBorders>
          </w:tcPr>
          <w:p w14:paraId="43D3606D" w14:textId="77777777" w:rsidR="00453A91" w:rsidRPr="003832ED" w:rsidRDefault="00453A91" w:rsidP="00F14F33">
            <w:pPr>
              <w:spacing w:line="240" w:lineRule="auto"/>
              <w:jc w:val="center"/>
              <w:rPr>
                <w:b/>
                <w:sz w:val="20"/>
                <w:szCs w:val="20"/>
              </w:rPr>
            </w:pPr>
            <w:r w:rsidRPr="003832ED">
              <w:rPr>
                <w:b/>
                <w:sz w:val="20"/>
                <w:szCs w:val="20"/>
              </w:rPr>
              <w:t>Standard Deviation</w:t>
            </w:r>
          </w:p>
        </w:tc>
        <w:tc>
          <w:tcPr>
            <w:tcW w:w="588" w:type="dxa"/>
            <w:tcBorders>
              <w:left w:val="nil"/>
              <w:bottom w:val="single" w:sz="4" w:space="0" w:color="auto"/>
              <w:right w:val="nil"/>
            </w:tcBorders>
          </w:tcPr>
          <w:p w14:paraId="1F27198E" w14:textId="77777777" w:rsidR="00453A91" w:rsidRPr="003832ED" w:rsidRDefault="00453A91" w:rsidP="00F14F33">
            <w:pPr>
              <w:spacing w:line="240" w:lineRule="auto"/>
              <w:jc w:val="center"/>
              <w:rPr>
                <w:b/>
                <w:sz w:val="20"/>
                <w:szCs w:val="20"/>
              </w:rPr>
            </w:pPr>
            <w:r w:rsidRPr="003832ED">
              <w:rPr>
                <w:b/>
                <w:sz w:val="20"/>
                <w:szCs w:val="20"/>
              </w:rPr>
              <w:t>Min</w:t>
            </w:r>
          </w:p>
        </w:tc>
        <w:tc>
          <w:tcPr>
            <w:tcW w:w="605" w:type="dxa"/>
            <w:tcBorders>
              <w:left w:val="nil"/>
              <w:bottom w:val="single" w:sz="4" w:space="0" w:color="auto"/>
              <w:right w:val="nil"/>
            </w:tcBorders>
          </w:tcPr>
          <w:p w14:paraId="3A0C1BE7" w14:textId="77777777" w:rsidR="00453A91" w:rsidRPr="003832ED" w:rsidRDefault="00453A91" w:rsidP="00F14F33">
            <w:pPr>
              <w:spacing w:line="240" w:lineRule="auto"/>
              <w:jc w:val="center"/>
              <w:rPr>
                <w:b/>
                <w:sz w:val="20"/>
                <w:szCs w:val="20"/>
              </w:rPr>
            </w:pPr>
            <w:r w:rsidRPr="003832ED">
              <w:rPr>
                <w:b/>
                <w:sz w:val="20"/>
                <w:szCs w:val="20"/>
              </w:rPr>
              <w:t>Max</w:t>
            </w:r>
          </w:p>
        </w:tc>
        <w:tc>
          <w:tcPr>
            <w:tcW w:w="1105" w:type="dxa"/>
            <w:tcBorders>
              <w:left w:val="nil"/>
              <w:bottom w:val="single" w:sz="4" w:space="0" w:color="auto"/>
              <w:right w:val="nil"/>
            </w:tcBorders>
          </w:tcPr>
          <w:p w14:paraId="7D97330C" w14:textId="77777777" w:rsidR="00453A91" w:rsidRPr="003832ED" w:rsidRDefault="00453A91" w:rsidP="00F14F33">
            <w:pPr>
              <w:spacing w:line="240" w:lineRule="auto"/>
              <w:jc w:val="center"/>
              <w:rPr>
                <w:b/>
                <w:sz w:val="20"/>
                <w:szCs w:val="20"/>
              </w:rPr>
            </w:pPr>
            <w:r w:rsidRPr="003832ED">
              <w:rPr>
                <w:b/>
                <w:color w:val="000000"/>
                <w:sz w:val="20"/>
                <w:szCs w:val="20"/>
              </w:rPr>
              <w:t>Scale Reliability (α)</w:t>
            </w:r>
          </w:p>
        </w:tc>
      </w:tr>
      <w:tr w:rsidR="00453A91" w:rsidRPr="003832ED" w14:paraId="684FCE9C" w14:textId="77777777" w:rsidTr="00F14F33">
        <w:trPr>
          <w:trHeight w:val="1014"/>
        </w:trPr>
        <w:tc>
          <w:tcPr>
            <w:tcW w:w="3964" w:type="dxa"/>
            <w:tcBorders>
              <w:left w:val="nil"/>
              <w:bottom w:val="nil"/>
              <w:right w:val="nil"/>
            </w:tcBorders>
          </w:tcPr>
          <w:p w14:paraId="6B3F8C06" w14:textId="77777777" w:rsidR="00453A91" w:rsidRPr="003832ED" w:rsidRDefault="00453A91" w:rsidP="00F14F33">
            <w:pPr>
              <w:spacing w:line="240" w:lineRule="auto"/>
              <w:rPr>
                <w:sz w:val="20"/>
                <w:szCs w:val="20"/>
              </w:rPr>
            </w:pPr>
            <w:r w:rsidRPr="003832ED">
              <w:rPr>
                <w:sz w:val="20"/>
                <w:szCs w:val="20"/>
              </w:rPr>
              <w:t>Age</w:t>
            </w:r>
          </w:p>
          <w:p w14:paraId="7FEBA7EE" w14:textId="77777777" w:rsidR="00453A91" w:rsidRPr="003832ED" w:rsidRDefault="00453A91" w:rsidP="00F14F33">
            <w:pPr>
              <w:spacing w:line="240" w:lineRule="auto"/>
              <w:rPr>
                <w:sz w:val="20"/>
                <w:szCs w:val="20"/>
              </w:rPr>
            </w:pPr>
            <w:r w:rsidRPr="003832ED">
              <w:rPr>
                <w:sz w:val="20"/>
                <w:szCs w:val="20"/>
              </w:rPr>
              <w:t xml:space="preserve">Younger Adolescents (12–14 </w:t>
            </w:r>
            <w:proofErr w:type="spellStart"/>
            <w:r w:rsidRPr="003832ED">
              <w:rPr>
                <w:sz w:val="20"/>
                <w:szCs w:val="20"/>
              </w:rPr>
              <w:t>yr</w:t>
            </w:r>
            <w:proofErr w:type="spellEnd"/>
            <w:r w:rsidRPr="003832ED">
              <w:rPr>
                <w:sz w:val="20"/>
                <w:szCs w:val="20"/>
              </w:rPr>
              <w:t xml:space="preserve"> </w:t>
            </w:r>
            <w:proofErr w:type="spellStart"/>
            <w:r w:rsidRPr="003832ED">
              <w:rPr>
                <w:sz w:val="20"/>
                <w:szCs w:val="20"/>
              </w:rPr>
              <w:t>olds</w:t>
            </w:r>
            <w:proofErr w:type="spellEnd"/>
            <w:r w:rsidRPr="003832ED">
              <w:rPr>
                <w:sz w:val="20"/>
                <w:szCs w:val="20"/>
              </w:rPr>
              <w:t>)</w:t>
            </w:r>
            <w:r w:rsidRPr="003832ED">
              <w:rPr>
                <w:sz w:val="20"/>
                <w:szCs w:val="20"/>
              </w:rPr>
              <w:br/>
              <w:t xml:space="preserve">Older Adolescents (15–18 </w:t>
            </w:r>
            <w:proofErr w:type="spellStart"/>
            <w:r w:rsidRPr="003832ED">
              <w:rPr>
                <w:sz w:val="20"/>
                <w:szCs w:val="20"/>
              </w:rPr>
              <w:t>yr</w:t>
            </w:r>
            <w:proofErr w:type="spellEnd"/>
            <w:r w:rsidRPr="003832ED">
              <w:rPr>
                <w:sz w:val="20"/>
                <w:szCs w:val="20"/>
              </w:rPr>
              <w:t xml:space="preserve"> </w:t>
            </w:r>
            <w:proofErr w:type="spellStart"/>
            <w:r w:rsidRPr="003832ED">
              <w:rPr>
                <w:sz w:val="20"/>
                <w:szCs w:val="20"/>
              </w:rPr>
              <w:t>olds</w:t>
            </w:r>
            <w:proofErr w:type="spellEnd"/>
            <w:r w:rsidRPr="003832ED">
              <w:rPr>
                <w:sz w:val="20"/>
                <w:szCs w:val="20"/>
              </w:rPr>
              <w:t>)</w:t>
            </w:r>
          </w:p>
        </w:tc>
        <w:tc>
          <w:tcPr>
            <w:tcW w:w="825" w:type="dxa"/>
            <w:tcBorders>
              <w:left w:val="nil"/>
              <w:bottom w:val="nil"/>
              <w:right w:val="nil"/>
            </w:tcBorders>
          </w:tcPr>
          <w:p w14:paraId="0E964914" w14:textId="77777777" w:rsidR="00453A91" w:rsidRPr="003832ED" w:rsidRDefault="00453A91" w:rsidP="00F14F33">
            <w:pPr>
              <w:spacing w:line="240" w:lineRule="auto"/>
              <w:jc w:val="center"/>
              <w:rPr>
                <w:sz w:val="20"/>
                <w:szCs w:val="20"/>
              </w:rPr>
            </w:pPr>
            <w:r w:rsidRPr="003832ED">
              <w:rPr>
                <w:sz w:val="20"/>
                <w:szCs w:val="20"/>
              </w:rPr>
              <w:t>1266</w:t>
            </w:r>
          </w:p>
          <w:p w14:paraId="367E423B" w14:textId="77777777" w:rsidR="00453A91" w:rsidRPr="003832ED" w:rsidRDefault="00453A91" w:rsidP="00F14F33">
            <w:pPr>
              <w:spacing w:line="240" w:lineRule="auto"/>
              <w:jc w:val="center"/>
              <w:rPr>
                <w:sz w:val="20"/>
                <w:szCs w:val="20"/>
              </w:rPr>
            </w:pPr>
            <w:r w:rsidRPr="003832ED">
              <w:rPr>
                <w:sz w:val="20"/>
                <w:szCs w:val="20"/>
              </w:rPr>
              <w:t>597</w:t>
            </w:r>
            <w:r w:rsidRPr="003832ED">
              <w:rPr>
                <w:sz w:val="20"/>
                <w:szCs w:val="20"/>
              </w:rPr>
              <w:br/>
              <w:t>669</w:t>
            </w:r>
          </w:p>
        </w:tc>
        <w:tc>
          <w:tcPr>
            <w:tcW w:w="735" w:type="dxa"/>
            <w:tcBorders>
              <w:left w:val="nil"/>
              <w:bottom w:val="nil"/>
              <w:right w:val="nil"/>
            </w:tcBorders>
          </w:tcPr>
          <w:p w14:paraId="24BFB397" w14:textId="77777777" w:rsidR="00453A91" w:rsidRPr="003832ED" w:rsidRDefault="00453A91" w:rsidP="00F14F33">
            <w:pPr>
              <w:spacing w:line="240" w:lineRule="auto"/>
              <w:jc w:val="center"/>
              <w:rPr>
                <w:sz w:val="20"/>
                <w:szCs w:val="20"/>
              </w:rPr>
            </w:pPr>
          </w:p>
          <w:p w14:paraId="69597FBF" w14:textId="77777777" w:rsidR="00453A91" w:rsidRPr="003832ED" w:rsidRDefault="00453A91" w:rsidP="00F14F33">
            <w:pPr>
              <w:spacing w:line="240" w:lineRule="auto"/>
              <w:jc w:val="center"/>
              <w:rPr>
                <w:sz w:val="20"/>
                <w:szCs w:val="20"/>
              </w:rPr>
            </w:pPr>
            <w:r w:rsidRPr="003832ED">
              <w:rPr>
                <w:sz w:val="20"/>
                <w:szCs w:val="20"/>
              </w:rPr>
              <w:t>47.2%</w:t>
            </w:r>
            <w:r w:rsidRPr="003832ED">
              <w:rPr>
                <w:sz w:val="20"/>
                <w:szCs w:val="20"/>
              </w:rPr>
              <w:br/>
              <w:t>52.8%</w:t>
            </w:r>
          </w:p>
        </w:tc>
        <w:tc>
          <w:tcPr>
            <w:tcW w:w="804" w:type="dxa"/>
            <w:tcBorders>
              <w:left w:val="nil"/>
              <w:bottom w:val="nil"/>
              <w:right w:val="nil"/>
            </w:tcBorders>
          </w:tcPr>
          <w:p w14:paraId="29869EB3" w14:textId="77777777" w:rsidR="00453A91" w:rsidRPr="003832ED" w:rsidRDefault="00453A91" w:rsidP="00F14F33">
            <w:pPr>
              <w:spacing w:line="240" w:lineRule="auto"/>
              <w:jc w:val="center"/>
              <w:rPr>
                <w:sz w:val="20"/>
                <w:szCs w:val="20"/>
              </w:rPr>
            </w:pPr>
            <w:r w:rsidRPr="003832ED">
              <w:rPr>
                <w:sz w:val="20"/>
                <w:szCs w:val="20"/>
              </w:rPr>
              <w:t>14.64</w:t>
            </w:r>
          </w:p>
        </w:tc>
        <w:tc>
          <w:tcPr>
            <w:tcW w:w="1039" w:type="dxa"/>
            <w:tcBorders>
              <w:left w:val="nil"/>
              <w:bottom w:val="nil"/>
              <w:right w:val="nil"/>
            </w:tcBorders>
          </w:tcPr>
          <w:p w14:paraId="2C830A7A" w14:textId="77777777" w:rsidR="00453A91" w:rsidRPr="003832ED" w:rsidRDefault="00453A91" w:rsidP="00F14F33">
            <w:pPr>
              <w:spacing w:line="240" w:lineRule="auto"/>
              <w:jc w:val="center"/>
              <w:rPr>
                <w:sz w:val="20"/>
                <w:szCs w:val="20"/>
              </w:rPr>
            </w:pPr>
            <w:r w:rsidRPr="003832ED">
              <w:rPr>
                <w:sz w:val="20"/>
                <w:szCs w:val="20"/>
              </w:rPr>
              <w:t>± 1.59</w:t>
            </w:r>
          </w:p>
        </w:tc>
        <w:tc>
          <w:tcPr>
            <w:tcW w:w="588" w:type="dxa"/>
            <w:tcBorders>
              <w:left w:val="nil"/>
              <w:bottom w:val="nil"/>
              <w:right w:val="nil"/>
            </w:tcBorders>
          </w:tcPr>
          <w:p w14:paraId="3A35AECE" w14:textId="77777777" w:rsidR="00453A91" w:rsidRPr="003832ED" w:rsidRDefault="00453A91" w:rsidP="00F14F33">
            <w:pPr>
              <w:spacing w:line="240" w:lineRule="auto"/>
              <w:jc w:val="center"/>
              <w:rPr>
                <w:sz w:val="20"/>
                <w:szCs w:val="20"/>
              </w:rPr>
            </w:pPr>
            <w:r w:rsidRPr="003832ED">
              <w:rPr>
                <w:sz w:val="20"/>
                <w:szCs w:val="20"/>
              </w:rPr>
              <w:t>12</w:t>
            </w:r>
          </w:p>
        </w:tc>
        <w:tc>
          <w:tcPr>
            <w:tcW w:w="605" w:type="dxa"/>
            <w:tcBorders>
              <w:left w:val="nil"/>
              <w:bottom w:val="nil"/>
              <w:right w:val="nil"/>
            </w:tcBorders>
          </w:tcPr>
          <w:p w14:paraId="387FEF6D" w14:textId="77777777" w:rsidR="00453A91" w:rsidRPr="003832ED" w:rsidRDefault="00453A91" w:rsidP="00F14F33">
            <w:pPr>
              <w:spacing w:line="240" w:lineRule="auto"/>
              <w:jc w:val="center"/>
              <w:rPr>
                <w:sz w:val="20"/>
                <w:szCs w:val="20"/>
              </w:rPr>
            </w:pPr>
            <w:r w:rsidRPr="003832ED">
              <w:rPr>
                <w:sz w:val="20"/>
                <w:szCs w:val="20"/>
              </w:rPr>
              <w:t>18</w:t>
            </w:r>
          </w:p>
        </w:tc>
        <w:tc>
          <w:tcPr>
            <w:tcW w:w="1105" w:type="dxa"/>
            <w:tcBorders>
              <w:left w:val="nil"/>
              <w:bottom w:val="nil"/>
              <w:right w:val="nil"/>
            </w:tcBorders>
          </w:tcPr>
          <w:p w14:paraId="1F10F33B" w14:textId="77777777" w:rsidR="00453A91" w:rsidRPr="003832ED" w:rsidRDefault="00453A91" w:rsidP="00F14F33">
            <w:pPr>
              <w:spacing w:line="240" w:lineRule="auto"/>
              <w:jc w:val="center"/>
              <w:rPr>
                <w:sz w:val="20"/>
                <w:szCs w:val="20"/>
              </w:rPr>
            </w:pPr>
          </w:p>
        </w:tc>
      </w:tr>
      <w:tr w:rsidR="00453A91" w:rsidRPr="003832ED" w14:paraId="5D07C26F" w14:textId="77777777" w:rsidTr="00F14F33">
        <w:trPr>
          <w:trHeight w:val="1014"/>
        </w:trPr>
        <w:tc>
          <w:tcPr>
            <w:tcW w:w="3964" w:type="dxa"/>
            <w:tcBorders>
              <w:top w:val="nil"/>
              <w:left w:val="nil"/>
              <w:bottom w:val="nil"/>
              <w:right w:val="nil"/>
            </w:tcBorders>
          </w:tcPr>
          <w:p w14:paraId="58B62F01" w14:textId="77777777" w:rsidR="00453A91" w:rsidRPr="003832ED" w:rsidRDefault="00453A91" w:rsidP="00F14F33">
            <w:pPr>
              <w:spacing w:line="240" w:lineRule="auto"/>
              <w:rPr>
                <w:sz w:val="20"/>
                <w:szCs w:val="20"/>
              </w:rPr>
            </w:pPr>
            <w:r w:rsidRPr="003832ED">
              <w:rPr>
                <w:sz w:val="20"/>
                <w:szCs w:val="20"/>
              </w:rPr>
              <w:br/>
              <w:t>Gender</w:t>
            </w:r>
            <w:r w:rsidRPr="003832ED">
              <w:rPr>
                <w:sz w:val="20"/>
                <w:szCs w:val="20"/>
              </w:rPr>
              <w:br/>
              <w:t>Males</w:t>
            </w:r>
            <w:r w:rsidRPr="003832ED">
              <w:rPr>
                <w:sz w:val="20"/>
                <w:szCs w:val="20"/>
              </w:rPr>
              <w:br/>
              <w:t>Females</w:t>
            </w:r>
          </w:p>
        </w:tc>
        <w:tc>
          <w:tcPr>
            <w:tcW w:w="825" w:type="dxa"/>
            <w:tcBorders>
              <w:top w:val="nil"/>
              <w:left w:val="nil"/>
              <w:bottom w:val="nil"/>
              <w:right w:val="nil"/>
            </w:tcBorders>
          </w:tcPr>
          <w:p w14:paraId="60362EA0" w14:textId="77777777" w:rsidR="00453A91" w:rsidRPr="003832ED" w:rsidRDefault="00453A91" w:rsidP="00F14F33">
            <w:pPr>
              <w:spacing w:line="240" w:lineRule="auto"/>
              <w:jc w:val="center"/>
              <w:rPr>
                <w:sz w:val="20"/>
                <w:szCs w:val="20"/>
              </w:rPr>
            </w:pPr>
          </w:p>
          <w:p w14:paraId="19A7943B" w14:textId="77777777" w:rsidR="00453A91" w:rsidRPr="003832ED" w:rsidRDefault="00453A91" w:rsidP="00F14F33">
            <w:pPr>
              <w:spacing w:line="240" w:lineRule="auto"/>
              <w:jc w:val="center"/>
              <w:rPr>
                <w:sz w:val="20"/>
                <w:szCs w:val="20"/>
              </w:rPr>
            </w:pPr>
            <w:r w:rsidRPr="003832ED">
              <w:rPr>
                <w:sz w:val="20"/>
                <w:szCs w:val="20"/>
              </w:rPr>
              <w:t>557</w:t>
            </w:r>
            <w:r w:rsidRPr="003832ED">
              <w:rPr>
                <w:sz w:val="20"/>
                <w:szCs w:val="20"/>
              </w:rPr>
              <w:br/>
              <w:t>709</w:t>
            </w:r>
          </w:p>
        </w:tc>
        <w:tc>
          <w:tcPr>
            <w:tcW w:w="735" w:type="dxa"/>
            <w:tcBorders>
              <w:top w:val="nil"/>
              <w:left w:val="nil"/>
              <w:bottom w:val="nil"/>
              <w:right w:val="nil"/>
            </w:tcBorders>
          </w:tcPr>
          <w:p w14:paraId="4CEE68AF" w14:textId="77777777" w:rsidR="00453A91" w:rsidRPr="003832ED" w:rsidRDefault="00453A91" w:rsidP="00F14F33">
            <w:pPr>
              <w:spacing w:line="240" w:lineRule="auto"/>
              <w:jc w:val="center"/>
              <w:rPr>
                <w:sz w:val="20"/>
                <w:szCs w:val="20"/>
              </w:rPr>
            </w:pPr>
          </w:p>
          <w:p w14:paraId="7132E5D3" w14:textId="77777777" w:rsidR="00453A91" w:rsidRPr="003832ED" w:rsidRDefault="00453A91" w:rsidP="00F14F33">
            <w:pPr>
              <w:spacing w:line="240" w:lineRule="auto"/>
              <w:jc w:val="center"/>
              <w:rPr>
                <w:sz w:val="20"/>
                <w:szCs w:val="20"/>
              </w:rPr>
            </w:pPr>
            <w:r w:rsidRPr="003832ED">
              <w:rPr>
                <w:sz w:val="20"/>
                <w:szCs w:val="20"/>
              </w:rPr>
              <w:t>44%</w:t>
            </w:r>
            <w:r w:rsidRPr="003832ED">
              <w:rPr>
                <w:sz w:val="20"/>
                <w:szCs w:val="20"/>
              </w:rPr>
              <w:br/>
              <w:t>56%</w:t>
            </w:r>
          </w:p>
        </w:tc>
        <w:tc>
          <w:tcPr>
            <w:tcW w:w="804" w:type="dxa"/>
            <w:tcBorders>
              <w:top w:val="nil"/>
              <w:left w:val="nil"/>
              <w:bottom w:val="nil"/>
              <w:right w:val="nil"/>
            </w:tcBorders>
          </w:tcPr>
          <w:p w14:paraId="48A7D134" w14:textId="77777777" w:rsidR="00453A91" w:rsidRPr="003832ED" w:rsidRDefault="00453A91" w:rsidP="00F14F33">
            <w:pPr>
              <w:spacing w:line="240" w:lineRule="auto"/>
              <w:jc w:val="center"/>
              <w:rPr>
                <w:sz w:val="20"/>
                <w:szCs w:val="20"/>
              </w:rPr>
            </w:pPr>
          </w:p>
        </w:tc>
        <w:tc>
          <w:tcPr>
            <w:tcW w:w="1039" w:type="dxa"/>
            <w:tcBorders>
              <w:top w:val="nil"/>
              <w:left w:val="nil"/>
              <w:bottom w:val="nil"/>
              <w:right w:val="nil"/>
            </w:tcBorders>
          </w:tcPr>
          <w:p w14:paraId="691193FA" w14:textId="77777777" w:rsidR="00453A91" w:rsidRPr="003832ED" w:rsidRDefault="00453A91" w:rsidP="00F14F33">
            <w:pPr>
              <w:spacing w:line="240" w:lineRule="auto"/>
              <w:jc w:val="center"/>
              <w:rPr>
                <w:sz w:val="20"/>
                <w:szCs w:val="20"/>
              </w:rPr>
            </w:pPr>
          </w:p>
        </w:tc>
        <w:tc>
          <w:tcPr>
            <w:tcW w:w="588" w:type="dxa"/>
            <w:tcBorders>
              <w:top w:val="nil"/>
              <w:left w:val="nil"/>
              <w:bottom w:val="nil"/>
              <w:right w:val="nil"/>
            </w:tcBorders>
          </w:tcPr>
          <w:p w14:paraId="6266C0B9" w14:textId="77777777" w:rsidR="00453A91" w:rsidRPr="003832ED" w:rsidRDefault="00453A91" w:rsidP="00F14F33">
            <w:pPr>
              <w:spacing w:line="240" w:lineRule="auto"/>
              <w:jc w:val="center"/>
              <w:rPr>
                <w:sz w:val="20"/>
                <w:szCs w:val="20"/>
              </w:rPr>
            </w:pPr>
          </w:p>
        </w:tc>
        <w:tc>
          <w:tcPr>
            <w:tcW w:w="605" w:type="dxa"/>
            <w:tcBorders>
              <w:top w:val="nil"/>
              <w:left w:val="nil"/>
              <w:bottom w:val="nil"/>
              <w:right w:val="nil"/>
            </w:tcBorders>
          </w:tcPr>
          <w:p w14:paraId="1AFC706C" w14:textId="77777777" w:rsidR="00453A91" w:rsidRPr="003832ED" w:rsidRDefault="00453A91" w:rsidP="00F14F33">
            <w:pPr>
              <w:spacing w:line="240" w:lineRule="auto"/>
              <w:jc w:val="center"/>
              <w:rPr>
                <w:sz w:val="20"/>
                <w:szCs w:val="20"/>
              </w:rPr>
            </w:pPr>
          </w:p>
        </w:tc>
        <w:tc>
          <w:tcPr>
            <w:tcW w:w="1105" w:type="dxa"/>
            <w:tcBorders>
              <w:top w:val="nil"/>
              <w:left w:val="nil"/>
              <w:bottom w:val="nil"/>
              <w:right w:val="nil"/>
            </w:tcBorders>
          </w:tcPr>
          <w:p w14:paraId="61719255" w14:textId="77777777" w:rsidR="00453A91" w:rsidRPr="003832ED" w:rsidRDefault="00453A91" w:rsidP="00F14F33">
            <w:pPr>
              <w:spacing w:line="240" w:lineRule="auto"/>
              <w:jc w:val="center"/>
              <w:rPr>
                <w:sz w:val="20"/>
                <w:szCs w:val="20"/>
              </w:rPr>
            </w:pPr>
          </w:p>
        </w:tc>
      </w:tr>
      <w:tr w:rsidR="00453A91" w:rsidRPr="003832ED" w14:paraId="1072BBAF" w14:textId="77777777" w:rsidTr="00F14F33">
        <w:trPr>
          <w:trHeight w:val="322"/>
        </w:trPr>
        <w:tc>
          <w:tcPr>
            <w:tcW w:w="3964" w:type="dxa"/>
            <w:tcBorders>
              <w:top w:val="nil"/>
              <w:left w:val="nil"/>
              <w:bottom w:val="nil"/>
              <w:right w:val="nil"/>
            </w:tcBorders>
          </w:tcPr>
          <w:p w14:paraId="0DBB0A53" w14:textId="77777777" w:rsidR="00453A91" w:rsidRPr="003832ED" w:rsidRDefault="00453A91" w:rsidP="00F14F33">
            <w:pPr>
              <w:spacing w:line="240" w:lineRule="auto"/>
              <w:rPr>
                <w:sz w:val="20"/>
                <w:szCs w:val="20"/>
              </w:rPr>
            </w:pPr>
            <w:r w:rsidRPr="003832ED">
              <w:rPr>
                <w:sz w:val="20"/>
                <w:szCs w:val="20"/>
              </w:rPr>
              <w:t>Adverse childhood experiences score</w:t>
            </w:r>
          </w:p>
        </w:tc>
        <w:tc>
          <w:tcPr>
            <w:tcW w:w="825" w:type="dxa"/>
            <w:tcBorders>
              <w:top w:val="nil"/>
              <w:left w:val="nil"/>
              <w:bottom w:val="nil"/>
              <w:right w:val="nil"/>
            </w:tcBorders>
          </w:tcPr>
          <w:p w14:paraId="5B87B824" w14:textId="77777777" w:rsidR="00453A91" w:rsidRPr="003832ED" w:rsidRDefault="00453A91" w:rsidP="00F14F33">
            <w:pPr>
              <w:spacing w:line="240" w:lineRule="auto"/>
              <w:jc w:val="center"/>
              <w:rPr>
                <w:sz w:val="20"/>
                <w:szCs w:val="20"/>
              </w:rPr>
            </w:pPr>
            <w:r w:rsidRPr="003832ED">
              <w:rPr>
                <w:sz w:val="20"/>
                <w:szCs w:val="20"/>
              </w:rPr>
              <w:t>1266</w:t>
            </w:r>
          </w:p>
        </w:tc>
        <w:tc>
          <w:tcPr>
            <w:tcW w:w="735" w:type="dxa"/>
            <w:tcBorders>
              <w:top w:val="nil"/>
              <w:left w:val="nil"/>
              <w:bottom w:val="nil"/>
              <w:right w:val="nil"/>
            </w:tcBorders>
          </w:tcPr>
          <w:p w14:paraId="00B01A71" w14:textId="77777777" w:rsidR="00453A91" w:rsidRPr="003832ED" w:rsidRDefault="00453A91" w:rsidP="00F14F33">
            <w:pPr>
              <w:spacing w:line="240" w:lineRule="auto"/>
              <w:jc w:val="center"/>
              <w:rPr>
                <w:sz w:val="20"/>
                <w:szCs w:val="20"/>
              </w:rPr>
            </w:pPr>
          </w:p>
        </w:tc>
        <w:tc>
          <w:tcPr>
            <w:tcW w:w="804" w:type="dxa"/>
            <w:tcBorders>
              <w:top w:val="nil"/>
              <w:left w:val="nil"/>
              <w:bottom w:val="nil"/>
              <w:right w:val="nil"/>
            </w:tcBorders>
          </w:tcPr>
          <w:p w14:paraId="7EF320F6" w14:textId="77777777" w:rsidR="00453A91" w:rsidRPr="003832ED" w:rsidRDefault="00453A91" w:rsidP="00F14F33">
            <w:pPr>
              <w:spacing w:line="240" w:lineRule="auto"/>
              <w:jc w:val="center"/>
              <w:rPr>
                <w:sz w:val="20"/>
                <w:szCs w:val="20"/>
              </w:rPr>
            </w:pPr>
            <w:r w:rsidRPr="003832ED">
              <w:rPr>
                <w:sz w:val="20"/>
                <w:szCs w:val="20"/>
              </w:rPr>
              <w:t>1.39</w:t>
            </w:r>
          </w:p>
        </w:tc>
        <w:tc>
          <w:tcPr>
            <w:tcW w:w="1039" w:type="dxa"/>
            <w:tcBorders>
              <w:top w:val="nil"/>
              <w:left w:val="nil"/>
              <w:bottom w:val="nil"/>
              <w:right w:val="nil"/>
            </w:tcBorders>
          </w:tcPr>
          <w:p w14:paraId="50447B3F" w14:textId="77777777" w:rsidR="00453A91" w:rsidRPr="003832ED" w:rsidRDefault="00453A91" w:rsidP="00F14F33">
            <w:pPr>
              <w:spacing w:line="240" w:lineRule="auto"/>
              <w:jc w:val="center"/>
              <w:rPr>
                <w:sz w:val="20"/>
                <w:szCs w:val="20"/>
              </w:rPr>
            </w:pPr>
            <w:r w:rsidRPr="003832ED">
              <w:rPr>
                <w:sz w:val="20"/>
                <w:szCs w:val="20"/>
              </w:rPr>
              <w:t>± 1.62</w:t>
            </w:r>
          </w:p>
        </w:tc>
        <w:tc>
          <w:tcPr>
            <w:tcW w:w="588" w:type="dxa"/>
            <w:tcBorders>
              <w:top w:val="nil"/>
              <w:left w:val="nil"/>
              <w:bottom w:val="nil"/>
              <w:right w:val="nil"/>
            </w:tcBorders>
          </w:tcPr>
          <w:p w14:paraId="6E390B42" w14:textId="77777777" w:rsidR="00453A91" w:rsidRPr="003832ED" w:rsidRDefault="00453A91" w:rsidP="00F14F33">
            <w:pPr>
              <w:spacing w:line="240" w:lineRule="auto"/>
              <w:jc w:val="center"/>
              <w:rPr>
                <w:sz w:val="20"/>
                <w:szCs w:val="20"/>
              </w:rPr>
            </w:pPr>
            <w:r w:rsidRPr="003832ED">
              <w:rPr>
                <w:sz w:val="20"/>
                <w:szCs w:val="20"/>
              </w:rPr>
              <w:t>0</w:t>
            </w:r>
          </w:p>
        </w:tc>
        <w:tc>
          <w:tcPr>
            <w:tcW w:w="605" w:type="dxa"/>
            <w:tcBorders>
              <w:top w:val="nil"/>
              <w:left w:val="nil"/>
              <w:bottom w:val="nil"/>
              <w:right w:val="nil"/>
            </w:tcBorders>
          </w:tcPr>
          <w:p w14:paraId="1D71C7FB" w14:textId="77777777" w:rsidR="00453A91" w:rsidRPr="003832ED" w:rsidRDefault="00453A91" w:rsidP="00F14F33">
            <w:pPr>
              <w:spacing w:line="240" w:lineRule="auto"/>
              <w:jc w:val="center"/>
              <w:rPr>
                <w:sz w:val="20"/>
                <w:szCs w:val="20"/>
              </w:rPr>
            </w:pPr>
            <w:r w:rsidRPr="003832ED">
              <w:rPr>
                <w:sz w:val="20"/>
                <w:szCs w:val="20"/>
              </w:rPr>
              <w:t>9</w:t>
            </w:r>
          </w:p>
        </w:tc>
        <w:tc>
          <w:tcPr>
            <w:tcW w:w="1105" w:type="dxa"/>
            <w:tcBorders>
              <w:top w:val="nil"/>
              <w:left w:val="nil"/>
              <w:bottom w:val="nil"/>
              <w:right w:val="nil"/>
            </w:tcBorders>
          </w:tcPr>
          <w:p w14:paraId="3111BC54" w14:textId="77777777" w:rsidR="00453A91" w:rsidRPr="003832ED" w:rsidRDefault="00453A91" w:rsidP="00F14F33">
            <w:pPr>
              <w:spacing w:line="240" w:lineRule="auto"/>
              <w:jc w:val="center"/>
              <w:rPr>
                <w:sz w:val="20"/>
                <w:szCs w:val="20"/>
              </w:rPr>
            </w:pPr>
            <w:r w:rsidRPr="003832ED">
              <w:rPr>
                <w:sz w:val="20"/>
                <w:szCs w:val="20"/>
              </w:rPr>
              <w:t>.69</w:t>
            </w:r>
          </w:p>
        </w:tc>
      </w:tr>
      <w:tr w:rsidR="00453A91" w:rsidRPr="003832ED" w14:paraId="326924D5" w14:textId="77777777" w:rsidTr="00F14F33">
        <w:trPr>
          <w:trHeight w:val="345"/>
        </w:trPr>
        <w:tc>
          <w:tcPr>
            <w:tcW w:w="3964" w:type="dxa"/>
            <w:tcBorders>
              <w:top w:val="nil"/>
              <w:left w:val="nil"/>
              <w:bottom w:val="nil"/>
              <w:right w:val="nil"/>
            </w:tcBorders>
          </w:tcPr>
          <w:p w14:paraId="1C96E1E6" w14:textId="77777777" w:rsidR="00453A91" w:rsidRPr="003832ED" w:rsidRDefault="00453A91" w:rsidP="00F14F33">
            <w:pPr>
              <w:spacing w:line="240" w:lineRule="auto"/>
              <w:rPr>
                <w:sz w:val="20"/>
                <w:szCs w:val="20"/>
              </w:rPr>
            </w:pPr>
            <w:r w:rsidRPr="003832ED">
              <w:rPr>
                <w:sz w:val="20"/>
                <w:szCs w:val="20"/>
              </w:rPr>
              <w:t>Childhood family dynamics score</w:t>
            </w:r>
          </w:p>
        </w:tc>
        <w:tc>
          <w:tcPr>
            <w:tcW w:w="825" w:type="dxa"/>
            <w:tcBorders>
              <w:top w:val="nil"/>
              <w:left w:val="nil"/>
              <w:bottom w:val="nil"/>
              <w:right w:val="nil"/>
            </w:tcBorders>
          </w:tcPr>
          <w:p w14:paraId="6364E64E" w14:textId="77777777" w:rsidR="00453A91" w:rsidRPr="003832ED" w:rsidRDefault="00453A91" w:rsidP="00F14F33">
            <w:pPr>
              <w:spacing w:line="240" w:lineRule="auto"/>
              <w:jc w:val="center"/>
              <w:rPr>
                <w:sz w:val="20"/>
                <w:szCs w:val="20"/>
              </w:rPr>
            </w:pPr>
            <w:r w:rsidRPr="003832ED">
              <w:rPr>
                <w:sz w:val="20"/>
                <w:szCs w:val="20"/>
              </w:rPr>
              <w:t>1266</w:t>
            </w:r>
          </w:p>
        </w:tc>
        <w:tc>
          <w:tcPr>
            <w:tcW w:w="735" w:type="dxa"/>
            <w:tcBorders>
              <w:top w:val="nil"/>
              <w:left w:val="nil"/>
              <w:bottom w:val="nil"/>
              <w:right w:val="nil"/>
            </w:tcBorders>
          </w:tcPr>
          <w:p w14:paraId="30E42F8E" w14:textId="77777777" w:rsidR="00453A91" w:rsidRPr="003832ED" w:rsidRDefault="00453A91" w:rsidP="00F14F33">
            <w:pPr>
              <w:spacing w:line="240" w:lineRule="auto"/>
              <w:jc w:val="center"/>
              <w:rPr>
                <w:sz w:val="20"/>
                <w:szCs w:val="20"/>
              </w:rPr>
            </w:pPr>
          </w:p>
        </w:tc>
        <w:tc>
          <w:tcPr>
            <w:tcW w:w="804" w:type="dxa"/>
            <w:tcBorders>
              <w:top w:val="nil"/>
              <w:left w:val="nil"/>
              <w:bottom w:val="nil"/>
              <w:right w:val="nil"/>
            </w:tcBorders>
          </w:tcPr>
          <w:p w14:paraId="3D011FAC" w14:textId="77777777" w:rsidR="00453A91" w:rsidRPr="003832ED" w:rsidRDefault="00453A91" w:rsidP="00F14F33">
            <w:pPr>
              <w:spacing w:line="240" w:lineRule="auto"/>
              <w:jc w:val="center"/>
              <w:rPr>
                <w:sz w:val="20"/>
                <w:szCs w:val="20"/>
              </w:rPr>
            </w:pPr>
            <w:r w:rsidRPr="003832ED">
              <w:rPr>
                <w:sz w:val="20"/>
                <w:szCs w:val="20"/>
              </w:rPr>
              <w:t>24.20</w:t>
            </w:r>
          </w:p>
        </w:tc>
        <w:tc>
          <w:tcPr>
            <w:tcW w:w="1039" w:type="dxa"/>
            <w:tcBorders>
              <w:top w:val="nil"/>
              <w:left w:val="nil"/>
              <w:bottom w:val="nil"/>
              <w:right w:val="nil"/>
            </w:tcBorders>
          </w:tcPr>
          <w:p w14:paraId="6F28CF17" w14:textId="77777777" w:rsidR="00453A91" w:rsidRPr="003832ED" w:rsidRDefault="00453A91" w:rsidP="00F14F33">
            <w:pPr>
              <w:spacing w:line="240" w:lineRule="auto"/>
              <w:jc w:val="center"/>
              <w:rPr>
                <w:sz w:val="20"/>
                <w:szCs w:val="20"/>
              </w:rPr>
            </w:pPr>
            <w:r w:rsidRPr="003832ED">
              <w:rPr>
                <w:sz w:val="20"/>
                <w:szCs w:val="20"/>
              </w:rPr>
              <w:t>± 4.73</w:t>
            </w:r>
          </w:p>
        </w:tc>
        <w:tc>
          <w:tcPr>
            <w:tcW w:w="588" w:type="dxa"/>
            <w:tcBorders>
              <w:top w:val="nil"/>
              <w:left w:val="nil"/>
              <w:bottom w:val="nil"/>
              <w:right w:val="nil"/>
            </w:tcBorders>
          </w:tcPr>
          <w:p w14:paraId="0B9D9BBF" w14:textId="77777777" w:rsidR="00453A91" w:rsidRPr="003832ED" w:rsidRDefault="00453A91" w:rsidP="00F14F33">
            <w:pPr>
              <w:spacing w:line="240" w:lineRule="auto"/>
              <w:jc w:val="center"/>
              <w:rPr>
                <w:sz w:val="20"/>
                <w:szCs w:val="20"/>
              </w:rPr>
            </w:pPr>
            <w:r w:rsidRPr="003832ED">
              <w:rPr>
                <w:sz w:val="20"/>
                <w:szCs w:val="20"/>
              </w:rPr>
              <w:t>5</w:t>
            </w:r>
          </w:p>
        </w:tc>
        <w:tc>
          <w:tcPr>
            <w:tcW w:w="605" w:type="dxa"/>
            <w:tcBorders>
              <w:top w:val="nil"/>
              <w:left w:val="nil"/>
              <w:bottom w:val="nil"/>
              <w:right w:val="nil"/>
            </w:tcBorders>
          </w:tcPr>
          <w:p w14:paraId="386CA190" w14:textId="77777777" w:rsidR="00453A91" w:rsidRPr="003832ED" w:rsidRDefault="00453A91" w:rsidP="00F14F33">
            <w:pPr>
              <w:spacing w:line="240" w:lineRule="auto"/>
              <w:jc w:val="center"/>
              <w:rPr>
                <w:sz w:val="20"/>
                <w:szCs w:val="20"/>
              </w:rPr>
            </w:pPr>
            <w:r w:rsidRPr="003832ED">
              <w:rPr>
                <w:sz w:val="20"/>
                <w:szCs w:val="20"/>
              </w:rPr>
              <w:t>30</w:t>
            </w:r>
          </w:p>
        </w:tc>
        <w:tc>
          <w:tcPr>
            <w:tcW w:w="1105" w:type="dxa"/>
            <w:tcBorders>
              <w:top w:val="nil"/>
              <w:left w:val="nil"/>
              <w:bottom w:val="nil"/>
              <w:right w:val="nil"/>
            </w:tcBorders>
          </w:tcPr>
          <w:p w14:paraId="3A7EED7A" w14:textId="77777777" w:rsidR="00453A91" w:rsidRPr="003832ED" w:rsidRDefault="00453A91" w:rsidP="00F14F33">
            <w:pPr>
              <w:spacing w:line="240" w:lineRule="auto"/>
              <w:jc w:val="center"/>
              <w:rPr>
                <w:sz w:val="20"/>
                <w:szCs w:val="20"/>
              </w:rPr>
            </w:pPr>
            <w:r w:rsidRPr="003832ED">
              <w:rPr>
                <w:sz w:val="20"/>
                <w:szCs w:val="20"/>
              </w:rPr>
              <w:t>.84</w:t>
            </w:r>
          </w:p>
        </w:tc>
      </w:tr>
      <w:tr w:rsidR="00453A91" w:rsidRPr="003832ED" w14:paraId="13478A07" w14:textId="77777777" w:rsidTr="00F14F33">
        <w:trPr>
          <w:trHeight w:val="322"/>
        </w:trPr>
        <w:tc>
          <w:tcPr>
            <w:tcW w:w="3964" w:type="dxa"/>
            <w:tcBorders>
              <w:top w:val="nil"/>
              <w:left w:val="nil"/>
              <w:bottom w:val="nil"/>
              <w:right w:val="nil"/>
            </w:tcBorders>
          </w:tcPr>
          <w:p w14:paraId="06B6CC1C" w14:textId="77777777" w:rsidR="00453A91" w:rsidRPr="003832ED" w:rsidRDefault="00453A91" w:rsidP="00F14F33">
            <w:pPr>
              <w:spacing w:line="240" w:lineRule="auto"/>
              <w:rPr>
                <w:sz w:val="20"/>
                <w:szCs w:val="20"/>
              </w:rPr>
            </w:pPr>
            <w:r w:rsidRPr="003832ED">
              <w:rPr>
                <w:sz w:val="20"/>
                <w:szCs w:val="20"/>
              </w:rPr>
              <w:t>It is ok to drink alcohol at my age</w:t>
            </w:r>
          </w:p>
        </w:tc>
        <w:tc>
          <w:tcPr>
            <w:tcW w:w="825" w:type="dxa"/>
            <w:tcBorders>
              <w:top w:val="nil"/>
              <w:left w:val="nil"/>
              <w:bottom w:val="nil"/>
              <w:right w:val="nil"/>
            </w:tcBorders>
          </w:tcPr>
          <w:p w14:paraId="2DC101A6" w14:textId="77777777" w:rsidR="00453A91" w:rsidRPr="003832ED" w:rsidRDefault="00453A91" w:rsidP="00F14F33">
            <w:pPr>
              <w:spacing w:line="240" w:lineRule="auto"/>
              <w:jc w:val="center"/>
              <w:rPr>
                <w:sz w:val="20"/>
                <w:szCs w:val="20"/>
              </w:rPr>
            </w:pPr>
            <w:r w:rsidRPr="003832ED">
              <w:rPr>
                <w:sz w:val="20"/>
                <w:szCs w:val="20"/>
              </w:rPr>
              <w:t>1266</w:t>
            </w:r>
          </w:p>
        </w:tc>
        <w:tc>
          <w:tcPr>
            <w:tcW w:w="735" w:type="dxa"/>
            <w:tcBorders>
              <w:top w:val="nil"/>
              <w:left w:val="nil"/>
              <w:bottom w:val="nil"/>
              <w:right w:val="nil"/>
            </w:tcBorders>
          </w:tcPr>
          <w:p w14:paraId="60690EFA" w14:textId="77777777" w:rsidR="00453A91" w:rsidRPr="003832ED" w:rsidRDefault="00453A91" w:rsidP="00F14F33">
            <w:pPr>
              <w:spacing w:line="240" w:lineRule="auto"/>
              <w:rPr>
                <w:sz w:val="20"/>
                <w:szCs w:val="20"/>
              </w:rPr>
            </w:pPr>
          </w:p>
        </w:tc>
        <w:tc>
          <w:tcPr>
            <w:tcW w:w="804" w:type="dxa"/>
            <w:tcBorders>
              <w:top w:val="nil"/>
              <w:left w:val="nil"/>
              <w:bottom w:val="nil"/>
              <w:right w:val="nil"/>
            </w:tcBorders>
          </w:tcPr>
          <w:p w14:paraId="39706636" w14:textId="77777777" w:rsidR="00453A91" w:rsidRPr="003832ED" w:rsidRDefault="00453A91" w:rsidP="00F14F33">
            <w:pPr>
              <w:spacing w:line="240" w:lineRule="auto"/>
              <w:jc w:val="center"/>
              <w:rPr>
                <w:sz w:val="20"/>
                <w:szCs w:val="20"/>
              </w:rPr>
            </w:pPr>
            <w:r w:rsidRPr="003832ED">
              <w:rPr>
                <w:sz w:val="20"/>
                <w:szCs w:val="20"/>
              </w:rPr>
              <w:t>1.92</w:t>
            </w:r>
          </w:p>
        </w:tc>
        <w:tc>
          <w:tcPr>
            <w:tcW w:w="1039" w:type="dxa"/>
            <w:tcBorders>
              <w:top w:val="nil"/>
              <w:left w:val="nil"/>
              <w:bottom w:val="nil"/>
              <w:right w:val="nil"/>
            </w:tcBorders>
          </w:tcPr>
          <w:p w14:paraId="280DF3D8" w14:textId="77777777" w:rsidR="00453A91" w:rsidRPr="003832ED" w:rsidRDefault="00453A91" w:rsidP="00F14F33">
            <w:pPr>
              <w:spacing w:line="240" w:lineRule="auto"/>
              <w:jc w:val="center"/>
              <w:rPr>
                <w:sz w:val="20"/>
                <w:szCs w:val="20"/>
              </w:rPr>
            </w:pPr>
            <w:r w:rsidRPr="003832ED">
              <w:rPr>
                <w:sz w:val="20"/>
                <w:szCs w:val="20"/>
              </w:rPr>
              <w:t>± 1.19</w:t>
            </w:r>
          </w:p>
        </w:tc>
        <w:tc>
          <w:tcPr>
            <w:tcW w:w="588" w:type="dxa"/>
            <w:tcBorders>
              <w:top w:val="nil"/>
              <w:left w:val="nil"/>
              <w:bottom w:val="nil"/>
              <w:right w:val="nil"/>
            </w:tcBorders>
          </w:tcPr>
          <w:p w14:paraId="3A507139" w14:textId="77777777" w:rsidR="00453A91" w:rsidRPr="003832ED" w:rsidRDefault="00453A91" w:rsidP="00F14F33">
            <w:pPr>
              <w:spacing w:line="240" w:lineRule="auto"/>
              <w:jc w:val="center"/>
              <w:rPr>
                <w:sz w:val="20"/>
                <w:szCs w:val="20"/>
              </w:rPr>
            </w:pPr>
            <w:r w:rsidRPr="003832ED">
              <w:rPr>
                <w:sz w:val="20"/>
                <w:szCs w:val="20"/>
              </w:rPr>
              <w:t>1</w:t>
            </w:r>
          </w:p>
        </w:tc>
        <w:tc>
          <w:tcPr>
            <w:tcW w:w="605" w:type="dxa"/>
            <w:tcBorders>
              <w:top w:val="nil"/>
              <w:left w:val="nil"/>
              <w:bottom w:val="nil"/>
              <w:right w:val="nil"/>
            </w:tcBorders>
          </w:tcPr>
          <w:p w14:paraId="3B1463AF" w14:textId="77777777" w:rsidR="00453A91" w:rsidRPr="003832ED" w:rsidRDefault="00453A91" w:rsidP="00F14F33">
            <w:pPr>
              <w:spacing w:line="240" w:lineRule="auto"/>
              <w:jc w:val="center"/>
              <w:rPr>
                <w:sz w:val="20"/>
                <w:szCs w:val="20"/>
              </w:rPr>
            </w:pPr>
            <w:r w:rsidRPr="003832ED">
              <w:rPr>
                <w:sz w:val="20"/>
                <w:szCs w:val="20"/>
              </w:rPr>
              <w:t>5</w:t>
            </w:r>
          </w:p>
        </w:tc>
        <w:tc>
          <w:tcPr>
            <w:tcW w:w="1105" w:type="dxa"/>
            <w:tcBorders>
              <w:top w:val="nil"/>
              <w:left w:val="nil"/>
              <w:bottom w:val="nil"/>
              <w:right w:val="nil"/>
            </w:tcBorders>
          </w:tcPr>
          <w:p w14:paraId="18411176" w14:textId="77777777" w:rsidR="00453A91" w:rsidRPr="003832ED" w:rsidRDefault="00453A91" w:rsidP="00F14F33">
            <w:pPr>
              <w:spacing w:line="240" w:lineRule="auto"/>
              <w:jc w:val="center"/>
              <w:rPr>
                <w:sz w:val="20"/>
                <w:szCs w:val="20"/>
              </w:rPr>
            </w:pPr>
          </w:p>
        </w:tc>
      </w:tr>
      <w:tr w:rsidR="00453A91" w:rsidRPr="003832ED" w14:paraId="428AB0D2" w14:textId="77777777" w:rsidTr="00F14F33">
        <w:trPr>
          <w:trHeight w:val="345"/>
        </w:trPr>
        <w:tc>
          <w:tcPr>
            <w:tcW w:w="3964" w:type="dxa"/>
            <w:tcBorders>
              <w:top w:val="nil"/>
              <w:left w:val="nil"/>
              <w:bottom w:val="nil"/>
              <w:right w:val="nil"/>
            </w:tcBorders>
          </w:tcPr>
          <w:p w14:paraId="3A86DDD3" w14:textId="77777777" w:rsidR="00453A91" w:rsidRPr="003832ED" w:rsidRDefault="00453A91" w:rsidP="00F14F33">
            <w:pPr>
              <w:spacing w:line="240" w:lineRule="auto"/>
              <w:rPr>
                <w:sz w:val="20"/>
                <w:szCs w:val="20"/>
              </w:rPr>
            </w:pPr>
            <w:r w:rsidRPr="003832ED">
              <w:rPr>
                <w:sz w:val="20"/>
                <w:szCs w:val="20"/>
              </w:rPr>
              <w:t>Alcohol is harmful to my relationships</w:t>
            </w:r>
          </w:p>
        </w:tc>
        <w:tc>
          <w:tcPr>
            <w:tcW w:w="825" w:type="dxa"/>
            <w:tcBorders>
              <w:top w:val="nil"/>
              <w:left w:val="nil"/>
              <w:bottom w:val="nil"/>
              <w:right w:val="nil"/>
            </w:tcBorders>
          </w:tcPr>
          <w:p w14:paraId="62F8B2BB" w14:textId="77777777" w:rsidR="00453A91" w:rsidRPr="003832ED" w:rsidRDefault="00453A91" w:rsidP="00F14F33">
            <w:pPr>
              <w:spacing w:line="240" w:lineRule="auto"/>
              <w:jc w:val="center"/>
              <w:rPr>
                <w:sz w:val="20"/>
                <w:szCs w:val="20"/>
              </w:rPr>
            </w:pPr>
            <w:r w:rsidRPr="003832ED">
              <w:rPr>
                <w:sz w:val="20"/>
                <w:szCs w:val="20"/>
              </w:rPr>
              <w:t>1266</w:t>
            </w:r>
          </w:p>
        </w:tc>
        <w:tc>
          <w:tcPr>
            <w:tcW w:w="735" w:type="dxa"/>
            <w:tcBorders>
              <w:top w:val="nil"/>
              <w:left w:val="nil"/>
              <w:bottom w:val="nil"/>
              <w:right w:val="nil"/>
            </w:tcBorders>
          </w:tcPr>
          <w:p w14:paraId="79ED89EB" w14:textId="77777777" w:rsidR="00453A91" w:rsidRPr="003832ED" w:rsidRDefault="00453A91" w:rsidP="00F14F33">
            <w:pPr>
              <w:spacing w:line="240" w:lineRule="auto"/>
              <w:jc w:val="center"/>
              <w:rPr>
                <w:sz w:val="20"/>
                <w:szCs w:val="20"/>
              </w:rPr>
            </w:pPr>
          </w:p>
        </w:tc>
        <w:tc>
          <w:tcPr>
            <w:tcW w:w="804" w:type="dxa"/>
            <w:tcBorders>
              <w:top w:val="nil"/>
              <w:left w:val="nil"/>
              <w:bottom w:val="nil"/>
              <w:right w:val="nil"/>
            </w:tcBorders>
          </w:tcPr>
          <w:p w14:paraId="28D10258" w14:textId="77777777" w:rsidR="00453A91" w:rsidRPr="003832ED" w:rsidRDefault="00453A91" w:rsidP="00F14F33">
            <w:pPr>
              <w:spacing w:line="240" w:lineRule="auto"/>
              <w:jc w:val="center"/>
              <w:rPr>
                <w:sz w:val="20"/>
                <w:szCs w:val="20"/>
              </w:rPr>
            </w:pPr>
            <w:r w:rsidRPr="003832ED">
              <w:rPr>
                <w:sz w:val="20"/>
                <w:szCs w:val="20"/>
              </w:rPr>
              <w:t>3.94</w:t>
            </w:r>
          </w:p>
        </w:tc>
        <w:tc>
          <w:tcPr>
            <w:tcW w:w="1039" w:type="dxa"/>
            <w:tcBorders>
              <w:top w:val="nil"/>
              <w:left w:val="nil"/>
              <w:bottom w:val="nil"/>
              <w:right w:val="nil"/>
            </w:tcBorders>
          </w:tcPr>
          <w:p w14:paraId="7553BB1D" w14:textId="77777777" w:rsidR="00453A91" w:rsidRPr="003832ED" w:rsidRDefault="00453A91" w:rsidP="00F14F33">
            <w:pPr>
              <w:spacing w:line="240" w:lineRule="auto"/>
              <w:jc w:val="center"/>
              <w:rPr>
                <w:sz w:val="20"/>
                <w:szCs w:val="20"/>
              </w:rPr>
            </w:pPr>
            <w:r w:rsidRPr="003832ED">
              <w:rPr>
                <w:sz w:val="20"/>
                <w:szCs w:val="20"/>
              </w:rPr>
              <w:t>± 1.26</w:t>
            </w:r>
          </w:p>
        </w:tc>
        <w:tc>
          <w:tcPr>
            <w:tcW w:w="588" w:type="dxa"/>
            <w:tcBorders>
              <w:top w:val="nil"/>
              <w:left w:val="nil"/>
              <w:bottom w:val="nil"/>
              <w:right w:val="nil"/>
            </w:tcBorders>
          </w:tcPr>
          <w:p w14:paraId="283E3CE0" w14:textId="77777777" w:rsidR="00453A91" w:rsidRPr="003832ED" w:rsidRDefault="00453A91" w:rsidP="00F14F33">
            <w:pPr>
              <w:spacing w:line="240" w:lineRule="auto"/>
              <w:jc w:val="center"/>
              <w:rPr>
                <w:sz w:val="20"/>
                <w:szCs w:val="20"/>
              </w:rPr>
            </w:pPr>
            <w:r w:rsidRPr="003832ED">
              <w:rPr>
                <w:sz w:val="20"/>
                <w:szCs w:val="20"/>
              </w:rPr>
              <w:t>1</w:t>
            </w:r>
          </w:p>
        </w:tc>
        <w:tc>
          <w:tcPr>
            <w:tcW w:w="605" w:type="dxa"/>
            <w:tcBorders>
              <w:top w:val="nil"/>
              <w:left w:val="nil"/>
              <w:bottom w:val="nil"/>
              <w:right w:val="nil"/>
            </w:tcBorders>
          </w:tcPr>
          <w:p w14:paraId="76B2223B" w14:textId="77777777" w:rsidR="00453A91" w:rsidRPr="003832ED" w:rsidRDefault="00453A91" w:rsidP="00F14F33">
            <w:pPr>
              <w:spacing w:line="240" w:lineRule="auto"/>
              <w:jc w:val="center"/>
              <w:rPr>
                <w:sz w:val="20"/>
                <w:szCs w:val="20"/>
              </w:rPr>
            </w:pPr>
            <w:r w:rsidRPr="003832ED">
              <w:rPr>
                <w:sz w:val="20"/>
                <w:szCs w:val="20"/>
              </w:rPr>
              <w:t>5</w:t>
            </w:r>
          </w:p>
        </w:tc>
        <w:tc>
          <w:tcPr>
            <w:tcW w:w="1105" w:type="dxa"/>
            <w:tcBorders>
              <w:top w:val="nil"/>
              <w:left w:val="nil"/>
              <w:bottom w:val="nil"/>
              <w:right w:val="nil"/>
            </w:tcBorders>
          </w:tcPr>
          <w:p w14:paraId="2AD82EDD" w14:textId="77777777" w:rsidR="00453A91" w:rsidRPr="003832ED" w:rsidRDefault="00453A91" w:rsidP="00F14F33">
            <w:pPr>
              <w:spacing w:line="240" w:lineRule="auto"/>
              <w:jc w:val="center"/>
              <w:rPr>
                <w:sz w:val="20"/>
                <w:szCs w:val="20"/>
              </w:rPr>
            </w:pPr>
          </w:p>
        </w:tc>
      </w:tr>
      <w:tr w:rsidR="00453A91" w:rsidRPr="003832ED" w14:paraId="611AC805" w14:textId="77777777" w:rsidTr="00F14F33">
        <w:trPr>
          <w:trHeight w:val="322"/>
        </w:trPr>
        <w:tc>
          <w:tcPr>
            <w:tcW w:w="3964" w:type="dxa"/>
            <w:tcBorders>
              <w:top w:val="nil"/>
              <w:left w:val="nil"/>
              <w:bottom w:val="nil"/>
              <w:right w:val="nil"/>
            </w:tcBorders>
          </w:tcPr>
          <w:p w14:paraId="5DAE4EA4" w14:textId="77777777" w:rsidR="00453A91" w:rsidRPr="003832ED" w:rsidRDefault="00453A91" w:rsidP="00F14F33">
            <w:pPr>
              <w:spacing w:line="240" w:lineRule="auto"/>
              <w:rPr>
                <w:sz w:val="20"/>
                <w:szCs w:val="20"/>
              </w:rPr>
            </w:pPr>
            <w:r w:rsidRPr="003832ED">
              <w:rPr>
                <w:sz w:val="20"/>
                <w:szCs w:val="20"/>
              </w:rPr>
              <w:t>Alcohol is harmful to my health</w:t>
            </w:r>
          </w:p>
        </w:tc>
        <w:tc>
          <w:tcPr>
            <w:tcW w:w="825" w:type="dxa"/>
            <w:tcBorders>
              <w:top w:val="nil"/>
              <w:left w:val="nil"/>
              <w:bottom w:val="nil"/>
              <w:right w:val="nil"/>
            </w:tcBorders>
          </w:tcPr>
          <w:p w14:paraId="030BC811" w14:textId="77777777" w:rsidR="00453A91" w:rsidRPr="003832ED" w:rsidRDefault="00453A91" w:rsidP="00F14F33">
            <w:pPr>
              <w:spacing w:line="240" w:lineRule="auto"/>
              <w:jc w:val="center"/>
              <w:rPr>
                <w:sz w:val="20"/>
                <w:szCs w:val="20"/>
              </w:rPr>
            </w:pPr>
          </w:p>
        </w:tc>
        <w:tc>
          <w:tcPr>
            <w:tcW w:w="735" w:type="dxa"/>
            <w:tcBorders>
              <w:top w:val="nil"/>
              <w:left w:val="nil"/>
              <w:bottom w:val="nil"/>
              <w:right w:val="nil"/>
            </w:tcBorders>
          </w:tcPr>
          <w:p w14:paraId="7606E986" w14:textId="77777777" w:rsidR="00453A91" w:rsidRPr="003832ED" w:rsidRDefault="00453A91" w:rsidP="00F14F33">
            <w:pPr>
              <w:spacing w:line="240" w:lineRule="auto"/>
              <w:jc w:val="center"/>
              <w:rPr>
                <w:sz w:val="20"/>
                <w:szCs w:val="20"/>
              </w:rPr>
            </w:pPr>
          </w:p>
        </w:tc>
        <w:tc>
          <w:tcPr>
            <w:tcW w:w="804" w:type="dxa"/>
            <w:tcBorders>
              <w:top w:val="nil"/>
              <w:left w:val="nil"/>
              <w:bottom w:val="nil"/>
              <w:right w:val="nil"/>
            </w:tcBorders>
          </w:tcPr>
          <w:p w14:paraId="0239A01D" w14:textId="77777777" w:rsidR="00453A91" w:rsidRPr="003832ED" w:rsidRDefault="00453A91" w:rsidP="00F14F33">
            <w:pPr>
              <w:spacing w:line="240" w:lineRule="auto"/>
              <w:jc w:val="center"/>
              <w:rPr>
                <w:sz w:val="20"/>
                <w:szCs w:val="20"/>
              </w:rPr>
            </w:pPr>
            <w:r w:rsidRPr="003832ED">
              <w:rPr>
                <w:sz w:val="20"/>
                <w:szCs w:val="20"/>
              </w:rPr>
              <w:t>4.25</w:t>
            </w:r>
          </w:p>
        </w:tc>
        <w:tc>
          <w:tcPr>
            <w:tcW w:w="1039" w:type="dxa"/>
            <w:tcBorders>
              <w:top w:val="nil"/>
              <w:left w:val="nil"/>
              <w:bottom w:val="nil"/>
              <w:right w:val="nil"/>
            </w:tcBorders>
          </w:tcPr>
          <w:p w14:paraId="77C02843" w14:textId="77777777" w:rsidR="00453A91" w:rsidRPr="003832ED" w:rsidRDefault="00453A91" w:rsidP="00F14F33">
            <w:pPr>
              <w:spacing w:line="240" w:lineRule="auto"/>
              <w:jc w:val="center"/>
              <w:rPr>
                <w:sz w:val="20"/>
                <w:szCs w:val="20"/>
              </w:rPr>
            </w:pPr>
            <w:r w:rsidRPr="003832ED">
              <w:rPr>
                <w:sz w:val="20"/>
                <w:szCs w:val="20"/>
              </w:rPr>
              <w:t>± 1.13</w:t>
            </w:r>
          </w:p>
        </w:tc>
        <w:tc>
          <w:tcPr>
            <w:tcW w:w="588" w:type="dxa"/>
            <w:tcBorders>
              <w:top w:val="nil"/>
              <w:left w:val="nil"/>
              <w:bottom w:val="nil"/>
              <w:right w:val="nil"/>
            </w:tcBorders>
          </w:tcPr>
          <w:p w14:paraId="21D5873C" w14:textId="77777777" w:rsidR="00453A91" w:rsidRPr="003832ED" w:rsidRDefault="00453A91" w:rsidP="00F14F33">
            <w:pPr>
              <w:spacing w:line="240" w:lineRule="auto"/>
              <w:jc w:val="center"/>
              <w:rPr>
                <w:sz w:val="20"/>
                <w:szCs w:val="20"/>
              </w:rPr>
            </w:pPr>
            <w:r w:rsidRPr="003832ED">
              <w:rPr>
                <w:sz w:val="20"/>
                <w:szCs w:val="20"/>
              </w:rPr>
              <w:t>1</w:t>
            </w:r>
          </w:p>
        </w:tc>
        <w:tc>
          <w:tcPr>
            <w:tcW w:w="605" w:type="dxa"/>
            <w:tcBorders>
              <w:top w:val="nil"/>
              <w:left w:val="nil"/>
              <w:bottom w:val="nil"/>
              <w:right w:val="nil"/>
            </w:tcBorders>
          </w:tcPr>
          <w:p w14:paraId="17B1BAC7" w14:textId="77777777" w:rsidR="00453A91" w:rsidRPr="003832ED" w:rsidRDefault="00453A91" w:rsidP="00F14F33">
            <w:pPr>
              <w:spacing w:line="240" w:lineRule="auto"/>
              <w:jc w:val="center"/>
              <w:rPr>
                <w:sz w:val="20"/>
                <w:szCs w:val="20"/>
              </w:rPr>
            </w:pPr>
            <w:r w:rsidRPr="003832ED">
              <w:rPr>
                <w:sz w:val="20"/>
                <w:szCs w:val="20"/>
              </w:rPr>
              <w:t>5</w:t>
            </w:r>
          </w:p>
        </w:tc>
        <w:tc>
          <w:tcPr>
            <w:tcW w:w="1105" w:type="dxa"/>
            <w:tcBorders>
              <w:top w:val="nil"/>
              <w:left w:val="nil"/>
              <w:bottom w:val="nil"/>
              <w:right w:val="nil"/>
            </w:tcBorders>
          </w:tcPr>
          <w:p w14:paraId="18571DB1" w14:textId="77777777" w:rsidR="00453A91" w:rsidRPr="003832ED" w:rsidRDefault="00453A91" w:rsidP="00F14F33">
            <w:pPr>
              <w:spacing w:line="240" w:lineRule="auto"/>
              <w:jc w:val="center"/>
              <w:rPr>
                <w:sz w:val="20"/>
                <w:szCs w:val="20"/>
              </w:rPr>
            </w:pPr>
          </w:p>
        </w:tc>
      </w:tr>
      <w:tr w:rsidR="00453A91" w:rsidRPr="003832ED" w14:paraId="0CBC8120" w14:textId="77777777" w:rsidTr="00F14F33">
        <w:trPr>
          <w:trHeight w:val="668"/>
        </w:trPr>
        <w:tc>
          <w:tcPr>
            <w:tcW w:w="3964" w:type="dxa"/>
            <w:tcBorders>
              <w:top w:val="nil"/>
              <w:left w:val="nil"/>
              <w:bottom w:val="nil"/>
              <w:right w:val="nil"/>
            </w:tcBorders>
          </w:tcPr>
          <w:p w14:paraId="5B7854E9" w14:textId="77777777" w:rsidR="00453A91" w:rsidRPr="003832ED" w:rsidRDefault="00453A91" w:rsidP="00F14F33">
            <w:pPr>
              <w:spacing w:line="240" w:lineRule="auto"/>
              <w:rPr>
                <w:sz w:val="20"/>
                <w:szCs w:val="20"/>
              </w:rPr>
            </w:pPr>
            <w:r w:rsidRPr="003832ED">
              <w:rPr>
                <w:sz w:val="20"/>
                <w:szCs w:val="20"/>
              </w:rPr>
              <w:t>Some of my close friends drank alcohol in past month</w:t>
            </w:r>
          </w:p>
        </w:tc>
        <w:tc>
          <w:tcPr>
            <w:tcW w:w="825" w:type="dxa"/>
            <w:tcBorders>
              <w:top w:val="nil"/>
              <w:left w:val="nil"/>
              <w:bottom w:val="nil"/>
              <w:right w:val="nil"/>
            </w:tcBorders>
          </w:tcPr>
          <w:p w14:paraId="325E5A78" w14:textId="77777777" w:rsidR="00453A91" w:rsidRPr="003832ED" w:rsidRDefault="00453A91" w:rsidP="00F14F33">
            <w:pPr>
              <w:spacing w:line="240" w:lineRule="auto"/>
              <w:jc w:val="center"/>
              <w:rPr>
                <w:sz w:val="20"/>
                <w:szCs w:val="20"/>
              </w:rPr>
            </w:pPr>
            <w:r w:rsidRPr="003832ED">
              <w:rPr>
                <w:sz w:val="20"/>
                <w:szCs w:val="20"/>
              </w:rPr>
              <w:br/>
              <w:t>1266</w:t>
            </w:r>
          </w:p>
        </w:tc>
        <w:tc>
          <w:tcPr>
            <w:tcW w:w="735" w:type="dxa"/>
            <w:tcBorders>
              <w:top w:val="nil"/>
              <w:left w:val="nil"/>
              <w:bottom w:val="nil"/>
              <w:right w:val="nil"/>
            </w:tcBorders>
          </w:tcPr>
          <w:p w14:paraId="68C16FAE" w14:textId="77777777" w:rsidR="00453A91" w:rsidRPr="003832ED" w:rsidRDefault="00453A91" w:rsidP="00F14F33">
            <w:pPr>
              <w:spacing w:line="240" w:lineRule="auto"/>
              <w:jc w:val="center"/>
              <w:rPr>
                <w:sz w:val="20"/>
                <w:szCs w:val="20"/>
              </w:rPr>
            </w:pPr>
          </w:p>
        </w:tc>
        <w:tc>
          <w:tcPr>
            <w:tcW w:w="804" w:type="dxa"/>
            <w:tcBorders>
              <w:top w:val="nil"/>
              <w:left w:val="nil"/>
              <w:bottom w:val="nil"/>
              <w:right w:val="nil"/>
            </w:tcBorders>
          </w:tcPr>
          <w:p w14:paraId="5FE647FE" w14:textId="77777777" w:rsidR="00453A91" w:rsidRPr="003832ED" w:rsidRDefault="00453A91" w:rsidP="00F14F33">
            <w:pPr>
              <w:spacing w:line="240" w:lineRule="auto"/>
              <w:jc w:val="center"/>
              <w:rPr>
                <w:sz w:val="20"/>
                <w:szCs w:val="20"/>
              </w:rPr>
            </w:pPr>
            <w:r w:rsidRPr="003832ED">
              <w:rPr>
                <w:sz w:val="20"/>
                <w:szCs w:val="20"/>
              </w:rPr>
              <w:br/>
              <w:t>1.52</w:t>
            </w:r>
          </w:p>
        </w:tc>
        <w:tc>
          <w:tcPr>
            <w:tcW w:w="1039" w:type="dxa"/>
            <w:tcBorders>
              <w:top w:val="nil"/>
              <w:left w:val="nil"/>
              <w:bottom w:val="nil"/>
              <w:right w:val="nil"/>
            </w:tcBorders>
          </w:tcPr>
          <w:p w14:paraId="2064B6B0" w14:textId="77777777" w:rsidR="00453A91" w:rsidRPr="003832ED" w:rsidRDefault="00453A91" w:rsidP="00F14F33">
            <w:pPr>
              <w:spacing w:line="240" w:lineRule="auto"/>
              <w:jc w:val="center"/>
              <w:rPr>
                <w:sz w:val="20"/>
                <w:szCs w:val="20"/>
              </w:rPr>
            </w:pPr>
            <w:r w:rsidRPr="003832ED">
              <w:rPr>
                <w:sz w:val="20"/>
                <w:szCs w:val="20"/>
              </w:rPr>
              <w:br/>
              <w:t>± 0.50</w:t>
            </w:r>
          </w:p>
        </w:tc>
        <w:tc>
          <w:tcPr>
            <w:tcW w:w="588" w:type="dxa"/>
            <w:tcBorders>
              <w:top w:val="nil"/>
              <w:left w:val="nil"/>
              <w:bottom w:val="nil"/>
              <w:right w:val="nil"/>
            </w:tcBorders>
          </w:tcPr>
          <w:p w14:paraId="52C1487E" w14:textId="77777777" w:rsidR="00453A91" w:rsidRPr="003832ED" w:rsidRDefault="00453A91" w:rsidP="00F14F33">
            <w:pPr>
              <w:spacing w:line="240" w:lineRule="auto"/>
              <w:jc w:val="center"/>
              <w:rPr>
                <w:sz w:val="20"/>
                <w:szCs w:val="20"/>
              </w:rPr>
            </w:pPr>
            <w:r w:rsidRPr="003832ED">
              <w:rPr>
                <w:sz w:val="20"/>
                <w:szCs w:val="20"/>
              </w:rPr>
              <w:br/>
              <w:t>1</w:t>
            </w:r>
          </w:p>
        </w:tc>
        <w:tc>
          <w:tcPr>
            <w:tcW w:w="605" w:type="dxa"/>
            <w:tcBorders>
              <w:top w:val="nil"/>
              <w:left w:val="nil"/>
              <w:bottom w:val="nil"/>
              <w:right w:val="nil"/>
            </w:tcBorders>
          </w:tcPr>
          <w:p w14:paraId="5C06D959" w14:textId="77777777" w:rsidR="00453A91" w:rsidRPr="003832ED" w:rsidRDefault="00453A91" w:rsidP="00F14F33">
            <w:pPr>
              <w:spacing w:line="240" w:lineRule="auto"/>
              <w:jc w:val="center"/>
              <w:rPr>
                <w:sz w:val="20"/>
                <w:szCs w:val="20"/>
              </w:rPr>
            </w:pPr>
            <w:r w:rsidRPr="003832ED">
              <w:rPr>
                <w:sz w:val="20"/>
                <w:szCs w:val="20"/>
              </w:rPr>
              <w:br/>
              <w:t>2</w:t>
            </w:r>
          </w:p>
        </w:tc>
        <w:tc>
          <w:tcPr>
            <w:tcW w:w="1105" w:type="dxa"/>
            <w:tcBorders>
              <w:top w:val="nil"/>
              <w:left w:val="nil"/>
              <w:bottom w:val="nil"/>
              <w:right w:val="nil"/>
            </w:tcBorders>
          </w:tcPr>
          <w:p w14:paraId="0DCD016E" w14:textId="77777777" w:rsidR="00453A91" w:rsidRPr="003832ED" w:rsidRDefault="00453A91" w:rsidP="00F14F33">
            <w:pPr>
              <w:spacing w:line="240" w:lineRule="auto"/>
              <w:jc w:val="center"/>
              <w:rPr>
                <w:sz w:val="20"/>
                <w:szCs w:val="20"/>
              </w:rPr>
            </w:pPr>
          </w:p>
        </w:tc>
      </w:tr>
      <w:tr w:rsidR="00453A91" w:rsidRPr="003832ED" w14:paraId="4EC2E5DA" w14:textId="77777777" w:rsidTr="00F14F33">
        <w:trPr>
          <w:trHeight w:val="668"/>
        </w:trPr>
        <w:tc>
          <w:tcPr>
            <w:tcW w:w="3964" w:type="dxa"/>
            <w:tcBorders>
              <w:top w:val="nil"/>
              <w:left w:val="nil"/>
              <w:bottom w:val="nil"/>
              <w:right w:val="nil"/>
            </w:tcBorders>
          </w:tcPr>
          <w:p w14:paraId="36B269E3" w14:textId="77777777" w:rsidR="00453A91" w:rsidRPr="003832ED" w:rsidRDefault="00453A91" w:rsidP="00F14F33">
            <w:pPr>
              <w:spacing w:line="240" w:lineRule="auto"/>
              <w:rPr>
                <w:sz w:val="20"/>
                <w:szCs w:val="20"/>
              </w:rPr>
            </w:pPr>
            <w:r w:rsidRPr="003832ED">
              <w:rPr>
                <w:sz w:val="20"/>
                <w:szCs w:val="20"/>
              </w:rPr>
              <w:t xml:space="preserve">It is ok for me to say ‘no’ to drinking if </w:t>
            </w:r>
            <w:r w:rsidRPr="003832ED">
              <w:rPr>
                <w:bCs/>
                <w:sz w:val="20"/>
                <w:szCs w:val="20"/>
              </w:rPr>
              <w:t xml:space="preserve">friends </w:t>
            </w:r>
            <w:r w:rsidRPr="003832ED">
              <w:rPr>
                <w:sz w:val="20"/>
                <w:szCs w:val="20"/>
              </w:rPr>
              <w:t>offer me a drink</w:t>
            </w:r>
          </w:p>
        </w:tc>
        <w:tc>
          <w:tcPr>
            <w:tcW w:w="825" w:type="dxa"/>
            <w:tcBorders>
              <w:top w:val="nil"/>
              <w:left w:val="nil"/>
              <w:bottom w:val="nil"/>
              <w:right w:val="nil"/>
            </w:tcBorders>
          </w:tcPr>
          <w:p w14:paraId="75950B51" w14:textId="77777777" w:rsidR="00453A91" w:rsidRPr="003832ED" w:rsidRDefault="00453A91" w:rsidP="00F14F33">
            <w:pPr>
              <w:spacing w:line="240" w:lineRule="auto"/>
              <w:jc w:val="center"/>
              <w:rPr>
                <w:sz w:val="20"/>
                <w:szCs w:val="20"/>
              </w:rPr>
            </w:pPr>
            <w:r w:rsidRPr="003832ED">
              <w:rPr>
                <w:sz w:val="20"/>
                <w:szCs w:val="20"/>
              </w:rPr>
              <w:br/>
              <w:t>1266</w:t>
            </w:r>
          </w:p>
        </w:tc>
        <w:tc>
          <w:tcPr>
            <w:tcW w:w="735" w:type="dxa"/>
            <w:tcBorders>
              <w:top w:val="nil"/>
              <w:left w:val="nil"/>
              <w:bottom w:val="nil"/>
              <w:right w:val="nil"/>
            </w:tcBorders>
          </w:tcPr>
          <w:p w14:paraId="71E02B2B" w14:textId="77777777" w:rsidR="00453A91" w:rsidRPr="003832ED" w:rsidRDefault="00453A91" w:rsidP="00F14F33">
            <w:pPr>
              <w:spacing w:line="240" w:lineRule="auto"/>
              <w:jc w:val="center"/>
              <w:rPr>
                <w:sz w:val="20"/>
                <w:szCs w:val="20"/>
              </w:rPr>
            </w:pPr>
          </w:p>
        </w:tc>
        <w:tc>
          <w:tcPr>
            <w:tcW w:w="804" w:type="dxa"/>
            <w:tcBorders>
              <w:top w:val="nil"/>
              <w:left w:val="nil"/>
              <w:bottom w:val="nil"/>
              <w:right w:val="nil"/>
            </w:tcBorders>
          </w:tcPr>
          <w:p w14:paraId="3FE4FD7E" w14:textId="77777777" w:rsidR="00453A91" w:rsidRPr="003832ED" w:rsidRDefault="00453A91" w:rsidP="00F14F33">
            <w:pPr>
              <w:spacing w:line="240" w:lineRule="auto"/>
              <w:jc w:val="center"/>
              <w:rPr>
                <w:sz w:val="20"/>
                <w:szCs w:val="20"/>
              </w:rPr>
            </w:pPr>
            <w:r w:rsidRPr="003832ED">
              <w:rPr>
                <w:sz w:val="20"/>
                <w:szCs w:val="20"/>
              </w:rPr>
              <w:br/>
              <w:t>4.56</w:t>
            </w:r>
          </w:p>
        </w:tc>
        <w:tc>
          <w:tcPr>
            <w:tcW w:w="1039" w:type="dxa"/>
            <w:tcBorders>
              <w:top w:val="nil"/>
              <w:left w:val="nil"/>
              <w:bottom w:val="nil"/>
              <w:right w:val="nil"/>
            </w:tcBorders>
          </w:tcPr>
          <w:p w14:paraId="4EDDA1C4" w14:textId="77777777" w:rsidR="00453A91" w:rsidRPr="003832ED" w:rsidRDefault="00453A91" w:rsidP="00F14F33">
            <w:pPr>
              <w:spacing w:line="240" w:lineRule="auto"/>
              <w:jc w:val="center"/>
              <w:rPr>
                <w:sz w:val="20"/>
                <w:szCs w:val="20"/>
              </w:rPr>
            </w:pPr>
            <w:r w:rsidRPr="003832ED">
              <w:rPr>
                <w:sz w:val="20"/>
                <w:szCs w:val="20"/>
              </w:rPr>
              <w:br/>
              <w:t>± 1.04</w:t>
            </w:r>
          </w:p>
        </w:tc>
        <w:tc>
          <w:tcPr>
            <w:tcW w:w="588" w:type="dxa"/>
            <w:tcBorders>
              <w:top w:val="nil"/>
              <w:left w:val="nil"/>
              <w:bottom w:val="nil"/>
              <w:right w:val="nil"/>
            </w:tcBorders>
          </w:tcPr>
          <w:p w14:paraId="2793B1A0" w14:textId="77777777" w:rsidR="00453A91" w:rsidRPr="003832ED" w:rsidRDefault="00453A91" w:rsidP="00F14F33">
            <w:pPr>
              <w:spacing w:line="240" w:lineRule="auto"/>
              <w:jc w:val="center"/>
              <w:rPr>
                <w:sz w:val="20"/>
                <w:szCs w:val="20"/>
              </w:rPr>
            </w:pPr>
            <w:r w:rsidRPr="003832ED">
              <w:rPr>
                <w:sz w:val="20"/>
                <w:szCs w:val="20"/>
              </w:rPr>
              <w:br/>
              <w:t>1</w:t>
            </w:r>
          </w:p>
        </w:tc>
        <w:tc>
          <w:tcPr>
            <w:tcW w:w="605" w:type="dxa"/>
            <w:tcBorders>
              <w:top w:val="nil"/>
              <w:left w:val="nil"/>
              <w:bottom w:val="nil"/>
              <w:right w:val="nil"/>
            </w:tcBorders>
          </w:tcPr>
          <w:p w14:paraId="6811FD4C" w14:textId="77777777" w:rsidR="00453A91" w:rsidRPr="003832ED" w:rsidRDefault="00453A91" w:rsidP="00F14F33">
            <w:pPr>
              <w:spacing w:line="240" w:lineRule="auto"/>
              <w:jc w:val="center"/>
              <w:rPr>
                <w:sz w:val="20"/>
                <w:szCs w:val="20"/>
              </w:rPr>
            </w:pPr>
            <w:r w:rsidRPr="003832ED">
              <w:rPr>
                <w:sz w:val="20"/>
                <w:szCs w:val="20"/>
              </w:rPr>
              <w:br/>
              <w:t>5</w:t>
            </w:r>
          </w:p>
        </w:tc>
        <w:tc>
          <w:tcPr>
            <w:tcW w:w="1105" w:type="dxa"/>
            <w:tcBorders>
              <w:top w:val="nil"/>
              <w:left w:val="nil"/>
              <w:bottom w:val="nil"/>
              <w:right w:val="nil"/>
            </w:tcBorders>
          </w:tcPr>
          <w:p w14:paraId="152F32F7" w14:textId="77777777" w:rsidR="00453A91" w:rsidRPr="003832ED" w:rsidRDefault="00453A91" w:rsidP="00F14F33">
            <w:pPr>
              <w:spacing w:line="240" w:lineRule="auto"/>
              <w:jc w:val="center"/>
              <w:rPr>
                <w:sz w:val="20"/>
                <w:szCs w:val="20"/>
              </w:rPr>
            </w:pPr>
          </w:p>
        </w:tc>
      </w:tr>
      <w:tr w:rsidR="00453A91" w:rsidRPr="003832ED" w14:paraId="636D1383" w14:textId="77777777" w:rsidTr="00F14F33">
        <w:trPr>
          <w:trHeight w:val="691"/>
        </w:trPr>
        <w:tc>
          <w:tcPr>
            <w:tcW w:w="3964" w:type="dxa"/>
            <w:tcBorders>
              <w:top w:val="nil"/>
              <w:left w:val="nil"/>
              <w:bottom w:val="nil"/>
              <w:right w:val="nil"/>
            </w:tcBorders>
          </w:tcPr>
          <w:p w14:paraId="25F8B7E9" w14:textId="77777777" w:rsidR="00453A91" w:rsidRPr="003832ED" w:rsidRDefault="00453A91" w:rsidP="00F14F33">
            <w:pPr>
              <w:tabs>
                <w:tab w:val="left" w:pos="2605"/>
              </w:tabs>
              <w:spacing w:line="240" w:lineRule="auto"/>
              <w:rPr>
                <w:sz w:val="20"/>
                <w:szCs w:val="20"/>
              </w:rPr>
            </w:pPr>
            <w:r w:rsidRPr="003832ED">
              <w:rPr>
                <w:sz w:val="20"/>
                <w:szCs w:val="20"/>
              </w:rPr>
              <w:t xml:space="preserve">It is ok for me to say ‘no’ to drinking if </w:t>
            </w:r>
            <w:r w:rsidRPr="003832ED">
              <w:rPr>
                <w:bCs/>
                <w:sz w:val="20"/>
                <w:szCs w:val="20"/>
              </w:rPr>
              <w:t xml:space="preserve">family members </w:t>
            </w:r>
            <w:r w:rsidRPr="003832ED">
              <w:rPr>
                <w:sz w:val="20"/>
                <w:szCs w:val="20"/>
              </w:rPr>
              <w:t>offer me a drink</w:t>
            </w:r>
          </w:p>
          <w:p w14:paraId="51B425B5" w14:textId="77777777" w:rsidR="00453A91" w:rsidRPr="003832ED" w:rsidRDefault="00453A91" w:rsidP="00F14F33">
            <w:pPr>
              <w:tabs>
                <w:tab w:val="left" w:pos="2605"/>
              </w:tabs>
              <w:spacing w:line="240" w:lineRule="auto"/>
              <w:rPr>
                <w:sz w:val="20"/>
                <w:szCs w:val="20"/>
              </w:rPr>
            </w:pPr>
          </w:p>
        </w:tc>
        <w:tc>
          <w:tcPr>
            <w:tcW w:w="825" w:type="dxa"/>
            <w:tcBorders>
              <w:top w:val="nil"/>
              <w:left w:val="nil"/>
              <w:bottom w:val="nil"/>
              <w:right w:val="nil"/>
            </w:tcBorders>
          </w:tcPr>
          <w:p w14:paraId="07177636" w14:textId="77777777" w:rsidR="00453A91" w:rsidRPr="003832ED" w:rsidRDefault="00453A91" w:rsidP="00F14F33">
            <w:pPr>
              <w:spacing w:line="240" w:lineRule="auto"/>
              <w:jc w:val="center"/>
              <w:rPr>
                <w:sz w:val="20"/>
                <w:szCs w:val="20"/>
              </w:rPr>
            </w:pPr>
            <w:r w:rsidRPr="003832ED">
              <w:rPr>
                <w:sz w:val="20"/>
                <w:szCs w:val="20"/>
              </w:rPr>
              <w:br/>
              <w:t>1266</w:t>
            </w:r>
          </w:p>
        </w:tc>
        <w:tc>
          <w:tcPr>
            <w:tcW w:w="735" w:type="dxa"/>
            <w:tcBorders>
              <w:top w:val="nil"/>
              <w:left w:val="nil"/>
              <w:bottom w:val="nil"/>
              <w:right w:val="nil"/>
            </w:tcBorders>
          </w:tcPr>
          <w:p w14:paraId="2A1EA6D9" w14:textId="77777777" w:rsidR="00453A91" w:rsidRPr="003832ED" w:rsidRDefault="00453A91" w:rsidP="00F14F33">
            <w:pPr>
              <w:spacing w:line="240" w:lineRule="auto"/>
              <w:jc w:val="center"/>
              <w:rPr>
                <w:sz w:val="20"/>
                <w:szCs w:val="20"/>
              </w:rPr>
            </w:pPr>
          </w:p>
        </w:tc>
        <w:tc>
          <w:tcPr>
            <w:tcW w:w="804" w:type="dxa"/>
            <w:tcBorders>
              <w:top w:val="nil"/>
              <w:left w:val="nil"/>
              <w:bottom w:val="nil"/>
              <w:right w:val="nil"/>
            </w:tcBorders>
          </w:tcPr>
          <w:p w14:paraId="74F39344" w14:textId="77777777" w:rsidR="00453A91" w:rsidRPr="003832ED" w:rsidRDefault="00453A91" w:rsidP="00F14F33">
            <w:pPr>
              <w:spacing w:line="240" w:lineRule="auto"/>
              <w:jc w:val="center"/>
              <w:rPr>
                <w:sz w:val="20"/>
                <w:szCs w:val="20"/>
              </w:rPr>
            </w:pPr>
            <w:r w:rsidRPr="003832ED">
              <w:rPr>
                <w:sz w:val="20"/>
                <w:szCs w:val="20"/>
              </w:rPr>
              <w:br/>
              <w:t>4.52</w:t>
            </w:r>
          </w:p>
        </w:tc>
        <w:tc>
          <w:tcPr>
            <w:tcW w:w="1039" w:type="dxa"/>
            <w:tcBorders>
              <w:top w:val="nil"/>
              <w:left w:val="nil"/>
              <w:bottom w:val="nil"/>
              <w:right w:val="nil"/>
            </w:tcBorders>
          </w:tcPr>
          <w:p w14:paraId="3F65A000" w14:textId="77777777" w:rsidR="00453A91" w:rsidRPr="003832ED" w:rsidRDefault="00453A91" w:rsidP="00F14F33">
            <w:pPr>
              <w:spacing w:line="240" w:lineRule="auto"/>
              <w:jc w:val="center"/>
              <w:rPr>
                <w:sz w:val="20"/>
                <w:szCs w:val="20"/>
              </w:rPr>
            </w:pPr>
            <w:r w:rsidRPr="003832ED">
              <w:rPr>
                <w:sz w:val="20"/>
                <w:szCs w:val="20"/>
              </w:rPr>
              <w:br/>
              <w:t>± 1.07</w:t>
            </w:r>
          </w:p>
        </w:tc>
        <w:tc>
          <w:tcPr>
            <w:tcW w:w="588" w:type="dxa"/>
            <w:tcBorders>
              <w:top w:val="nil"/>
              <w:left w:val="nil"/>
              <w:bottom w:val="nil"/>
              <w:right w:val="nil"/>
            </w:tcBorders>
          </w:tcPr>
          <w:p w14:paraId="38B7E310" w14:textId="77777777" w:rsidR="00453A91" w:rsidRPr="003832ED" w:rsidRDefault="00453A91" w:rsidP="00F14F33">
            <w:pPr>
              <w:spacing w:line="240" w:lineRule="auto"/>
              <w:jc w:val="center"/>
              <w:rPr>
                <w:sz w:val="20"/>
                <w:szCs w:val="20"/>
              </w:rPr>
            </w:pPr>
            <w:r w:rsidRPr="003832ED">
              <w:rPr>
                <w:sz w:val="20"/>
                <w:szCs w:val="20"/>
              </w:rPr>
              <w:br/>
              <w:t>1</w:t>
            </w:r>
          </w:p>
        </w:tc>
        <w:tc>
          <w:tcPr>
            <w:tcW w:w="605" w:type="dxa"/>
            <w:tcBorders>
              <w:top w:val="nil"/>
              <w:left w:val="nil"/>
              <w:bottom w:val="nil"/>
              <w:right w:val="nil"/>
            </w:tcBorders>
          </w:tcPr>
          <w:p w14:paraId="018EA619" w14:textId="77777777" w:rsidR="00453A91" w:rsidRPr="003832ED" w:rsidRDefault="00453A91" w:rsidP="00F14F33">
            <w:pPr>
              <w:spacing w:line="240" w:lineRule="auto"/>
              <w:jc w:val="center"/>
              <w:rPr>
                <w:sz w:val="20"/>
                <w:szCs w:val="20"/>
              </w:rPr>
            </w:pPr>
            <w:r w:rsidRPr="003832ED">
              <w:rPr>
                <w:sz w:val="20"/>
                <w:szCs w:val="20"/>
              </w:rPr>
              <w:br/>
              <w:t>5</w:t>
            </w:r>
          </w:p>
          <w:p w14:paraId="5886B2EB" w14:textId="77777777" w:rsidR="00453A91" w:rsidRPr="003832ED" w:rsidRDefault="00453A91" w:rsidP="00F14F33">
            <w:pPr>
              <w:spacing w:line="240" w:lineRule="auto"/>
              <w:jc w:val="center"/>
              <w:rPr>
                <w:sz w:val="20"/>
                <w:szCs w:val="20"/>
              </w:rPr>
            </w:pPr>
          </w:p>
        </w:tc>
        <w:tc>
          <w:tcPr>
            <w:tcW w:w="1105" w:type="dxa"/>
            <w:tcBorders>
              <w:top w:val="nil"/>
              <w:left w:val="nil"/>
              <w:bottom w:val="nil"/>
              <w:right w:val="nil"/>
            </w:tcBorders>
          </w:tcPr>
          <w:p w14:paraId="428AD729" w14:textId="77777777" w:rsidR="00453A91" w:rsidRPr="003832ED" w:rsidRDefault="00453A91" w:rsidP="00F14F33">
            <w:pPr>
              <w:spacing w:line="240" w:lineRule="auto"/>
              <w:jc w:val="center"/>
              <w:rPr>
                <w:sz w:val="20"/>
                <w:szCs w:val="20"/>
              </w:rPr>
            </w:pPr>
          </w:p>
        </w:tc>
      </w:tr>
      <w:tr w:rsidR="00453A91" w:rsidRPr="003832ED" w14:paraId="257C3A04" w14:textId="77777777" w:rsidTr="00F14F33">
        <w:trPr>
          <w:trHeight w:val="322"/>
        </w:trPr>
        <w:tc>
          <w:tcPr>
            <w:tcW w:w="3964" w:type="dxa"/>
            <w:tcBorders>
              <w:top w:val="nil"/>
              <w:left w:val="nil"/>
              <w:bottom w:val="nil"/>
              <w:right w:val="nil"/>
            </w:tcBorders>
          </w:tcPr>
          <w:p w14:paraId="6A927DB3" w14:textId="77777777" w:rsidR="00453A91" w:rsidRPr="003832ED" w:rsidRDefault="00453A91" w:rsidP="00F14F33">
            <w:pPr>
              <w:spacing w:line="240" w:lineRule="auto"/>
              <w:rPr>
                <w:sz w:val="20"/>
                <w:szCs w:val="20"/>
              </w:rPr>
            </w:pPr>
            <w:r w:rsidRPr="003832ED">
              <w:rPr>
                <w:sz w:val="20"/>
                <w:szCs w:val="20"/>
              </w:rPr>
              <w:t>I plan to drink alcohol at my age</w:t>
            </w:r>
          </w:p>
        </w:tc>
        <w:tc>
          <w:tcPr>
            <w:tcW w:w="825" w:type="dxa"/>
            <w:tcBorders>
              <w:top w:val="nil"/>
              <w:left w:val="nil"/>
              <w:bottom w:val="nil"/>
              <w:right w:val="nil"/>
            </w:tcBorders>
          </w:tcPr>
          <w:p w14:paraId="10ED3890" w14:textId="77777777" w:rsidR="00453A91" w:rsidRPr="003832ED" w:rsidRDefault="00453A91" w:rsidP="00F14F33">
            <w:pPr>
              <w:spacing w:line="240" w:lineRule="auto"/>
              <w:jc w:val="center"/>
              <w:rPr>
                <w:sz w:val="20"/>
                <w:szCs w:val="20"/>
              </w:rPr>
            </w:pPr>
            <w:r w:rsidRPr="003832ED">
              <w:rPr>
                <w:sz w:val="20"/>
                <w:szCs w:val="20"/>
              </w:rPr>
              <w:t>1266</w:t>
            </w:r>
          </w:p>
        </w:tc>
        <w:tc>
          <w:tcPr>
            <w:tcW w:w="735" w:type="dxa"/>
            <w:tcBorders>
              <w:top w:val="nil"/>
              <w:left w:val="nil"/>
              <w:bottom w:val="nil"/>
              <w:right w:val="nil"/>
            </w:tcBorders>
          </w:tcPr>
          <w:p w14:paraId="779F9B70" w14:textId="77777777" w:rsidR="00453A91" w:rsidRPr="003832ED" w:rsidRDefault="00453A91" w:rsidP="00F14F33">
            <w:pPr>
              <w:spacing w:line="240" w:lineRule="auto"/>
              <w:jc w:val="center"/>
              <w:rPr>
                <w:sz w:val="20"/>
                <w:szCs w:val="20"/>
              </w:rPr>
            </w:pPr>
          </w:p>
        </w:tc>
        <w:tc>
          <w:tcPr>
            <w:tcW w:w="804" w:type="dxa"/>
            <w:tcBorders>
              <w:top w:val="nil"/>
              <w:left w:val="nil"/>
              <w:bottom w:val="nil"/>
              <w:right w:val="nil"/>
            </w:tcBorders>
          </w:tcPr>
          <w:p w14:paraId="411B218E" w14:textId="77777777" w:rsidR="00453A91" w:rsidRPr="003832ED" w:rsidRDefault="00453A91" w:rsidP="00F14F33">
            <w:pPr>
              <w:spacing w:line="240" w:lineRule="auto"/>
              <w:jc w:val="center"/>
              <w:rPr>
                <w:sz w:val="20"/>
                <w:szCs w:val="20"/>
              </w:rPr>
            </w:pPr>
            <w:r w:rsidRPr="003832ED">
              <w:rPr>
                <w:sz w:val="20"/>
                <w:szCs w:val="20"/>
              </w:rPr>
              <w:t>1.75</w:t>
            </w:r>
          </w:p>
        </w:tc>
        <w:tc>
          <w:tcPr>
            <w:tcW w:w="1039" w:type="dxa"/>
            <w:tcBorders>
              <w:top w:val="nil"/>
              <w:left w:val="nil"/>
              <w:bottom w:val="nil"/>
              <w:right w:val="nil"/>
            </w:tcBorders>
          </w:tcPr>
          <w:p w14:paraId="48E326D1" w14:textId="77777777" w:rsidR="00453A91" w:rsidRPr="003832ED" w:rsidRDefault="00453A91" w:rsidP="00F14F33">
            <w:pPr>
              <w:spacing w:line="240" w:lineRule="auto"/>
              <w:jc w:val="center"/>
              <w:rPr>
                <w:sz w:val="20"/>
                <w:szCs w:val="20"/>
              </w:rPr>
            </w:pPr>
            <w:r w:rsidRPr="003832ED">
              <w:rPr>
                <w:sz w:val="20"/>
                <w:szCs w:val="20"/>
              </w:rPr>
              <w:t>± 1.20</w:t>
            </w:r>
          </w:p>
        </w:tc>
        <w:tc>
          <w:tcPr>
            <w:tcW w:w="588" w:type="dxa"/>
            <w:tcBorders>
              <w:top w:val="nil"/>
              <w:left w:val="nil"/>
              <w:bottom w:val="nil"/>
              <w:right w:val="nil"/>
            </w:tcBorders>
          </w:tcPr>
          <w:p w14:paraId="4D54FEC9" w14:textId="77777777" w:rsidR="00453A91" w:rsidRPr="003832ED" w:rsidRDefault="00453A91" w:rsidP="00F14F33">
            <w:pPr>
              <w:spacing w:line="240" w:lineRule="auto"/>
              <w:jc w:val="center"/>
              <w:rPr>
                <w:sz w:val="20"/>
                <w:szCs w:val="20"/>
              </w:rPr>
            </w:pPr>
            <w:r w:rsidRPr="003832ED">
              <w:rPr>
                <w:sz w:val="20"/>
                <w:szCs w:val="20"/>
              </w:rPr>
              <w:t>1</w:t>
            </w:r>
          </w:p>
        </w:tc>
        <w:tc>
          <w:tcPr>
            <w:tcW w:w="605" w:type="dxa"/>
            <w:tcBorders>
              <w:top w:val="nil"/>
              <w:left w:val="nil"/>
              <w:bottom w:val="nil"/>
              <w:right w:val="nil"/>
            </w:tcBorders>
          </w:tcPr>
          <w:p w14:paraId="50BF3D36" w14:textId="77777777" w:rsidR="00453A91" w:rsidRPr="003832ED" w:rsidRDefault="00453A91" w:rsidP="00F14F33">
            <w:pPr>
              <w:spacing w:line="240" w:lineRule="auto"/>
              <w:jc w:val="center"/>
              <w:rPr>
                <w:sz w:val="20"/>
                <w:szCs w:val="20"/>
              </w:rPr>
            </w:pPr>
            <w:r w:rsidRPr="003832ED">
              <w:rPr>
                <w:sz w:val="20"/>
                <w:szCs w:val="20"/>
              </w:rPr>
              <w:t>5</w:t>
            </w:r>
          </w:p>
        </w:tc>
        <w:tc>
          <w:tcPr>
            <w:tcW w:w="1105" w:type="dxa"/>
            <w:tcBorders>
              <w:top w:val="nil"/>
              <w:left w:val="nil"/>
              <w:bottom w:val="nil"/>
              <w:right w:val="nil"/>
            </w:tcBorders>
          </w:tcPr>
          <w:p w14:paraId="539C1270" w14:textId="77777777" w:rsidR="00453A91" w:rsidRPr="003832ED" w:rsidRDefault="00453A91" w:rsidP="00F14F33">
            <w:pPr>
              <w:spacing w:line="240" w:lineRule="auto"/>
              <w:jc w:val="center"/>
              <w:rPr>
                <w:sz w:val="20"/>
                <w:szCs w:val="20"/>
              </w:rPr>
            </w:pPr>
          </w:p>
        </w:tc>
      </w:tr>
    </w:tbl>
    <w:tbl>
      <w:tblPr>
        <w:tblStyle w:val="TableGrid"/>
        <w:tblpPr w:leftFromText="180" w:rightFromText="180" w:vertAnchor="text" w:horzAnchor="margin" w:tblpY="124"/>
        <w:tblW w:w="9634" w:type="dxa"/>
        <w:tblLook w:val="04A0" w:firstRow="1" w:lastRow="0" w:firstColumn="1" w:lastColumn="0" w:noHBand="0" w:noVBand="1"/>
      </w:tblPr>
      <w:tblGrid>
        <w:gridCol w:w="2547"/>
        <w:gridCol w:w="761"/>
        <w:gridCol w:w="733"/>
        <w:gridCol w:w="667"/>
        <w:gridCol w:w="733"/>
        <w:gridCol w:w="662"/>
        <w:gridCol w:w="733"/>
        <w:gridCol w:w="660"/>
        <w:gridCol w:w="733"/>
        <w:gridCol w:w="671"/>
        <w:gridCol w:w="734"/>
      </w:tblGrid>
      <w:tr w:rsidR="00453A91" w:rsidRPr="003832ED" w14:paraId="56A97D87" w14:textId="77777777" w:rsidTr="00F14F33">
        <w:trPr>
          <w:trHeight w:val="505"/>
        </w:trPr>
        <w:tc>
          <w:tcPr>
            <w:tcW w:w="2547" w:type="dxa"/>
            <w:tcBorders>
              <w:left w:val="nil"/>
              <w:bottom w:val="nil"/>
              <w:right w:val="nil"/>
            </w:tcBorders>
            <w:vAlign w:val="bottom"/>
          </w:tcPr>
          <w:p w14:paraId="29CA7170" w14:textId="77777777" w:rsidR="00453A91" w:rsidRPr="003832ED" w:rsidRDefault="00453A91" w:rsidP="00F14F33">
            <w:pPr>
              <w:spacing w:line="240" w:lineRule="auto"/>
              <w:rPr>
                <w:b/>
                <w:sz w:val="20"/>
                <w:szCs w:val="20"/>
              </w:rPr>
            </w:pPr>
            <w:r w:rsidRPr="003832ED">
              <w:rPr>
                <w:b/>
                <w:sz w:val="20"/>
                <w:szCs w:val="20"/>
              </w:rPr>
              <w:t>Alcohol Consumption Status</w:t>
            </w:r>
          </w:p>
        </w:tc>
        <w:tc>
          <w:tcPr>
            <w:tcW w:w="1494" w:type="dxa"/>
            <w:gridSpan w:val="2"/>
            <w:tcBorders>
              <w:left w:val="nil"/>
              <w:bottom w:val="nil"/>
              <w:right w:val="nil"/>
            </w:tcBorders>
            <w:vAlign w:val="bottom"/>
          </w:tcPr>
          <w:p w14:paraId="566EA230" w14:textId="77777777" w:rsidR="00453A91" w:rsidRPr="003832ED" w:rsidRDefault="00453A91" w:rsidP="00F14F33">
            <w:pPr>
              <w:spacing w:line="240" w:lineRule="auto"/>
              <w:jc w:val="center"/>
              <w:rPr>
                <w:b/>
                <w:sz w:val="20"/>
                <w:szCs w:val="20"/>
              </w:rPr>
            </w:pPr>
            <w:r w:rsidRPr="003832ED">
              <w:rPr>
                <w:b/>
                <w:sz w:val="20"/>
                <w:szCs w:val="20"/>
              </w:rPr>
              <w:t>Males</w:t>
            </w:r>
          </w:p>
        </w:tc>
        <w:tc>
          <w:tcPr>
            <w:tcW w:w="1400" w:type="dxa"/>
            <w:gridSpan w:val="2"/>
            <w:tcBorders>
              <w:left w:val="nil"/>
              <w:bottom w:val="nil"/>
              <w:right w:val="nil"/>
            </w:tcBorders>
            <w:vAlign w:val="bottom"/>
          </w:tcPr>
          <w:p w14:paraId="6D50F6BB" w14:textId="77777777" w:rsidR="00453A91" w:rsidRPr="003832ED" w:rsidRDefault="00453A91" w:rsidP="00F14F33">
            <w:pPr>
              <w:spacing w:line="240" w:lineRule="auto"/>
              <w:jc w:val="center"/>
              <w:rPr>
                <w:b/>
                <w:sz w:val="20"/>
                <w:szCs w:val="20"/>
              </w:rPr>
            </w:pPr>
            <w:r w:rsidRPr="003832ED">
              <w:rPr>
                <w:b/>
                <w:sz w:val="20"/>
                <w:szCs w:val="20"/>
              </w:rPr>
              <w:t>Females</w:t>
            </w:r>
          </w:p>
        </w:tc>
        <w:tc>
          <w:tcPr>
            <w:tcW w:w="1395" w:type="dxa"/>
            <w:gridSpan w:val="2"/>
            <w:tcBorders>
              <w:left w:val="nil"/>
              <w:bottom w:val="nil"/>
              <w:right w:val="nil"/>
            </w:tcBorders>
            <w:vAlign w:val="bottom"/>
          </w:tcPr>
          <w:p w14:paraId="56166855" w14:textId="77777777" w:rsidR="00453A91" w:rsidRPr="003832ED" w:rsidRDefault="00453A91" w:rsidP="00F14F33">
            <w:pPr>
              <w:spacing w:line="240" w:lineRule="auto"/>
              <w:jc w:val="center"/>
              <w:rPr>
                <w:b/>
                <w:sz w:val="20"/>
                <w:szCs w:val="20"/>
              </w:rPr>
            </w:pPr>
            <w:r w:rsidRPr="003832ED">
              <w:rPr>
                <w:b/>
                <w:sz w:val="20"/>
                <w:szCs w:val="20"/>
              </w:rPr>
              <w:t>Younger Adolescents</w:t>
            </w:r>
          </w:p>
        </w:tc>
        <w:tc>
          <w:tcPr>
            <w:tcW w:w="1393" w:type="dxa"/>
            <w:gridSpan w:val="2"/>
            <w:tcBorders>
              <w:left w:val="nil"/>
              <w:bottom w:val="nil"/>
              <w:right w:val="nil"/>
            </w:tcBorders>
            <w:vAlign w:val="bottom"/>
          </w:tcPr>
          <w:p w14:paraId="34AD5D38" w14:textId="77777777" w:rsidR="00453A91" w:rsidRPr="003832ED" w:rsidRDefault="00453A91" w:rsidP="00F14F33">
            <w:pPr>
              <w:spacing w:line="240" w:lineRule="auto"/>
              <w:jc w:val="center"/>
              <w:rPr>
                <w:b/>
                <w:sz w:val="20"/>
                <w:szCs w:val="20"/>
              </w:rPr>
            </w:pPr>
            <w:r w:rsidRPr="003832ED">
              <w:rPr>
                <w:b/>
                <w:sz w:val="20"/>
                <w:szCs w:val="20"/>
              </w:rPr>
              <w:t>Older Adolescents</w:t>
            </w:r>
          </w:p>
        </w:tc>
        <w:tc>
          <w:tcPr>
            <w:tcW w:w="1405" w:type="dxa"/>
            <w:gridSpan w:val="2"/>
            <w:tcBorders>
              <w:left w:val="nil"/>
              <w:bottom w:val="nil"/>
              <w:right w:val="nil"/>
            </w:tcBorders>
            <w:vAlign w:val="bottom"/>
          </w:tcPr>
          <w:p w14:paraId="79DE0D19" w14:textId="77777777" w:rsidR="00453A91" w:rsidRPr="003832ED" w:rsidRDefault="00453A91" w:rsidP="00F14F33">
            <w:pPr>
              <w:spacing w:line="240" w:lineRule="auto"/>
              <w:jc w:val="center"/>
              <w:rPr>
                <w:b/>
                <w:sz w:val="20"/>
                <w:szCs w:val="20"/>
              </w:rPr>
            </w:pPr>
            <w:r w:rsidRPr="003832ED">
              <w:rPr>
                <w:b/>
                <w:sz w:val="20"/>
                <w:szCs w:val="20"/>
              </w:rPr>
              <w:t>Total</w:t>
            </w:r>
          </w:p>
        </w:tc>
      </w:tr>
      <w:tr w:rsidR="00453A91" w:rsidRPr="003832ED" w14:paraId="197CF63E" w14:textId="77777777" w:rsidTr="00F14F33">
        <w:trPr>
          <w:trHeight w:val="351"/>
        </w:trPr>
        <w:tc>
          <w:tcPr>
            <w:tcW w:w="2547" w:type="dxa"/>
            <w:tcBorders>
              <w:top w:val="nil"/>
              <w:left w:val="nil"/>
              <w:bottom w:val="single" w:sz="4" w:space="0" w:color="auto"/>
              <w:right w:val="nil"/>
            </w:tcBorders>
          </w:tcPr>
          <w:p w14:paraId="3F419137" w14:textId="77777777" w:rsidR="00453A91" w:rsidRPr="003832ED" w:rsidRDefault="00453A91" w:rsidP="00F14F33">
            <w:pPr>
              <w:spacing w:line="240" w:lineRule="auto"/>
              <w:rPr>
                <w:sz w:val="20"/>
                <w:szCs w:val="20"/>
              </w:rPr>
            </w:pPr>
          </w:p>
        </w:tc>
        <w:tc>
          <w:tcPr>
            <w:tcW w:w="761" w:type="dxa"/>
            <w:tcBorders>
              <w:top w:val="nil"/>
              <w:left w:val="nil"/>
              <w:bottom w:val="single" w:sz="4" w:space="0" w:color="auto"/>
              <w:right w:val="nil"/>
            </w:tcBorders>
          </w:tcPr>
          <w:p w14:paraId="516CB768" w14:textId="77777777" w:rsidR="00453A91" w:rsidRPr="003832ED" w:rsidRDefault="00453A91" w:rsidP="00F14F33">
            <w:pPr>
              <w:spacing w:line="240" w:lineRule="auto"/>
              <w:jc w:val="center"/>
              <w:rPr>
                <w:b/>
                <w:sz w:val="20"/>
                <w:szCs w:val="20"/>
              </w:rPr>
            </w:pPr>
            <w:r w:rsidRPr="003832ED">
              <w:rPr>
                <w:b/>
                <w:sz w:val="20"/>
                <w:szCs w:val="20"/>
              </w:rPr>
              <w:t>N</w:t>
            </w:r>
          </w:p>
        </w:tc>
        <w:tc>
          <w:tcPr>
            <w:tcW w:w="733" w:type="dxa"/>
            <w:tcBorders>
              <w:top w:val="nil"/>
              <w:left w:val="nil"/>
              <w:bottom w:val="single" w:sz="4" w:space="0" w:color="auto"/>
              <w:right w:val="nil"/>
            </w:tcBorders>
          </w:tcPr>
          <w:p w14:paraId="52C4F51C" w14:textId="77777777" w:rsidR="00453A91" w:rsidRPr="003832ED" w:rsidRDefault="00453A91" w:rsidP="00F14F33">
            <w:pPr>
              <w:spacing w:line="240" w:lineRule="auto"/>
              <w:jc w:val="center"/>
              <w:rPr>
                <w:b/>
                <w:sz w:val="20"/>
                <w:szCs w:val="20"/>
              </w:rPr>
            </w:pPr>
            <w:r w:rsidRPr="003832ED">
              <w:rPr>
                <w:b/>
                <w:sz w:val="20"/>
                <w:szCs w:val="20"/>
              </w:rPr>
              <w:t>%</w:t>
            </w:r>
          </w:p>
        </w:tc>
        <w:tc>
          <w:tcPr>
            <w:tcW w:w="667" w:type="dxa"/>
            <w:tcBorders>
              <w:top w:val="nil"/>
              <w:left w:val="nil"/>
              <w:bottom w:val="single" w:sz="4" w:space="0" w:color="auto"/>
              <w:right w:val="nil"/>
            </w:tcBorders>
          </w:tcPr>
          <w:p w14:paraId="68FC1553" w14:textId="77777777" w:rsidR="00453A91" w:rsidRPr="003832ED" w:rsidRDefault="00453A91" w:rsidP="00F14F33">
            <w:pPr>
              <w:spacing w:line="240" w:lineRule="auto"/>
              <w:jc w:val="center"/>
              <w:rPr>
                <w:b/>
                <w:sz w:val="20"/>
                <w:szCs w:val="20"/>
              </w:rPr>
            </w:pPr>
            <w:r w:rsidRPr="003832ED">
              <w:rPr>
                <w:b/>
                <w:sz w:val="20"/>
                <w:szCs w:val="20"/>
              </w:rPr>
              <w:t>N</w:t>
            </w:r>
          </w:p>
        </w:tc>
        <w:tc>
          <w:tcPr>
            <w:tcW w:w="733" w:type="dxa"/>
            <w:tcBorders>
              <w:top w:val="nil"/>
              <w:left w:val="nil"/>
              <w:bottom w:val="single" w:sz="4" w:space="0" w:color="auto"/>
              <w:right w:val="nil"/>
            </w:tcBorders>
          </w:tcPr>
          <w:p w14:paraId="29CB0F68" w14:textId="77777777" w:rsidR="00453A91" w:rsidRPr="003832ED" w:rsidRDefault="00453A91" w:rsidP="00F14F33">
            <w:pPr>
              <w:spacing w:line="240" w:lineRule="auto"/>
              <w:jc w:val="center"/>
              <w:rPr>
                <w:b/>
                <w:sz w:val="20"/>
                <w:szCs w:val="20"/>
              </w:rPr>
            </w:pPr>
            <w:r w:rsidRPr="003832ED">
              <w:rPr>
                <w:b/>
                <w:sz w:val="20"/>
                <w:szCs w:val="20"/>
              </w:rPr>
              <w:t>%</w:t>
            </w:r>
          </w:p>
        </w:tc>
        <w:tc>
          <w:tcPr>
            <w:tcW w:w="662" w:type="dxa"/>
            <w:tcBorders>
              <w:top w:val="nil"/>
              <w:left w:val="nil"/>
              <w:bottom w:val="single" w:sz="4" w:space="0" w:color="auto"/>
              <w:right w:val="nil"/>
            </w:tcBorders>
          </w:tcPr>
          <w:p w14:paraId="6E1AE517" w14:textId="77777777" w:rsidR="00453A91" w:rsidRPr="003832ED" w:rsidRDefault="00453A91" w:rsidP="00F14F33">
            <w:pPr>
              <w:spacing w:line="240" w:lineRule="auto"/>
              <w:jc w:val="center"/>
              <w:rPr>
                <w:b/>
                <w:sz w:val="20"/>
                <w:szCs w:val="20"/>
              </w:rPr>
            </w:pPr>
            <w:r w:rsidRPr="003832ED">
              <w:rPr>
                <w:b/>
                <w:sz w:val="20"/>
                <w:szCs w:val="20"/>
              </w:rPr>
              <w:t>N</w:t>
            </w:r>
          </w:p>
        </w:tc>
        <w:tc>
          <w:tcPr>
            <w:tcW w:w="733" w:type="dxa"/>
            <w:tcBorders>
              <w:top w:val="nil"/>
              <w:left w:val="nil"/>
              <w:bottom w:val="single" w:sz="4" w:space="0" w:color="auto"/>
              <w:right w:val="nil"/>
            </w:tcBorders>
          </w:tcPr>
          <w:p w14:paraId="18D39B2B" w14:textId="77777777" w:rsidR="00453A91" w:rsidRPr="003832ED" w:rsidRDefault="00453A91" w:rsidP="00F14F33">
            <w:pPr>
              <w:spacing w:line="240" w:lineRule="auto"/>
              <w:jc w:val="center"/>
              <w:rPr>
                <w:b/>
                <w:sz w:val="20"/>
                <w:szCs w:val="20"/>
              </w:rPr>
            </w:pPr>
            <w:r w:rsidRPr="003832ED">
              <w:rPr>
                <w:b/>
                <w:sz w:val="20"/>
                <w:szCs w:val="20"/>
              </w:rPr>
              <w:t>%</w:t>
            </w:r>
          </w:p>
        </w:tc>
        <w:tc>
          <w:tcPr>
            <w:tcW w:w="660" w:type="dxa"/>
            <w:tcBorders>
              <w:top w:val="nil"/>
              <w:left w:val="nil"/>
              <w:bottom w:val="single" w:sz="4" w:space="0" w:color="auto"/>
              <w:right w:val="nil"/>
            </w:tcBorders>
          </w:tcPr>
          <w:p w14:paraId="08F4852F" w14:textId="77777777" w:rsidR="00453A91" w:rsidRPr="003832ED" w:rsidRDefault="00453A91" w:rsidP="00F14F33">
            <w:pPr>
              <w:spacing w:line="240" w:lineRule="auto"/>
              <w:jc w:val="center"/>
              <w:rPr>
                <w:b/>
                <w:sz w:val="20"/>
                <w:szCs w:val="20"/>
              </w:rPr>
            </w:pPr>
            <w:r w:rsidRPr="003832ED">
              <w:rPr>
                <w:b/>
                <w:sz w:val="20"/>
                <w:szCs w:val="20"/>
              </w:rPr>
              <w:t>N</w:t>
            </w:r>
          </w:p>
        </w:tc>
        <w:tc>
          <w:tcPr>
            <w:tcW w:w="733" w:type="dxa"/>
            <w:tcBorders>
              <w:top w:val="nil"/>
              <w:left w:val="nil"/>
              <w:bottom w:val="single" w:sz="4" w:space="0" w:color="auto"/>
              <w:right w:val="nil"/>
            </w:tcBorders>
          </w:tcPr>
          <w:p w14:paraId="27A61745" w14:textId="77777777" w:rsidR="00453A91" w:rsidRPr="003832ED" w:rsidRDefault="00453A91" w:rsidP="00F14F33">
            <w:pPr>
              <w:spacing w:line="240" w:lineRule="auto"/>
              <w:jc w:val="center"/>
              <w:rPr>
                <w:b/>
                <w:sz w:val="20"/>
                <w:szCs w:val="20"/>
              </w:rPr>
            </w:pPr>
            <w:r w:rsidRPr="003832ED">
              <w:rPr>
                <w:b/>
                <w:sz w:val="20"/>
                <w:szCs w:val="20"/>
              </w:rPr>
              <w:t>%</w:t>
            </w:r>
          </w:p>
        </w:tc>
        <w:tc>
          <w:tcPr>
            <w:tcW w:w="671" w:type="dxa"/>
            <w:tcBorders>
              <w:top w:val="nil"/>
              <w:left w:val="nil"/>
              <w:bottom w:val="single" w:sz="4" w:space="0" w:color="auto"/>
              <w:right w:val="nil"/>
            </w:tcBorders>
          </w:tcPr>
          <w:p w14:paraId="29D77893" w14:textId="77777777" w:rsidR="00453A91" w:rsidRPr="003832ED" w:rsidRDefault="00453A91" w:rsidP="00F14F33">
            <w:pPr>
              <w:spacing w:line="240" w:lineRule="auto"/>
              <w:jc w:val="center"/>
              <w:rPr>
                <w:b/>
                <w:sz w:val="20"/>
                <w:szCs w:val="20"/>
              </w:rPr>
            </w:pPr>
            <w:r w:rsidRPr="003832ED">
              <w:rPr>
                <w:b/>
                <w:sz w:val="20"/>
                <w:szCs w:val="20"/>
              </w:rPr>
              <w:t>N</w:t>
            </w:r>
          </w:p>
        </w:tc>
        <w:tc>
          <w:tcPr>
            <w:tcW w:w="734" w:type="dxa"/>
            <w:tcBorders>
              <w:top w:val="nil"/>
              <w:left w:val="nil"/>
              <w:bottom w:val="single" w:sz="4" w:space="0" w:color="auto"/>
              <w:right w:val="nil"/>
            </w:tcBorders>
          </w:tcPr>
          <w:p w14:paraId="4A397652" w14:textId="77777777" w:rsidR="00453A91" w:rsidRPr="003832ED" w:rsidRDefault="00453A91" w:rsidP="00F14F33">
            <w:pPr>
              <w:spacing w:line="240" w:lineRule="auto"/>
              <w:jc w:val="center"/>
              <w:rPr>
                <w:b/>
                <w:sz w:val="20"/>
                <w:szCs w:val="20"/>
              </w:rPr>
            </w:pPr>
            <w:r w:rsidRPr="003832ED">
              <w:rPr>
                <w:b/>
                <w:sz w:val="20"/>
                <w:szCs w:val="20"/>
              </w:rPr>
              <w:t>%</w:t>
            </w:r>
          </w:p>
        </w:tc>
      </w:tr>
      <w:tr w:rsidR="00453A91" w:rsidRPr="003832ED" w14:paraId="15497426" w14:textId="77777777" w:rsidTr="00F14F33">
        <w:trPr>
          <w:trHeight w:val="103"/>
        </w:trPr>
        <w:tc>
          <w:tcPr>
            <w:tcW w:w="2547" w:type="dxa"/>
            <w:tcBorders>
              <w:left w:val="nil"/>
              <w:right w:val="nil"/>
            </w:tcBorders>
          </w:tcPr>
          <w:p w14:paraId="69FF62D1" w14:textId="77777777" w:rsidR="00453A91" w:rsidRPr="003832ED" w:rsidRDefault="00453A91" w:rsidP="00F14F33">
            <w:pPr>
              <w:spacing w:line="240" w:lineRule="auto"/>
              <w:rPr>
                <w:sz w:val="20"/>
                <w:szCs w:val="20"/>
              </w:rPr>
            </w:pPr>
            <w:r w:rsidRPr="003832ED">
              <w:rPr>
                <w:sz w:val="20"/>
                <w:szCs w:val="20"/>
              </w:rPr>
              <w:t>A non-drinker</w:t>
            </w:r>
            <w:r w:rsidRPr="003832ED">
              <w:rPr>
                <w:sz w:val="20"/>
                <w:szCs w:val="20"/>
              </w:rPr>
              <w:br/>
              <w:t>An occasional drinker</w:t>
            </w:r>
            <w:r w:rsidRPr="003832ED">
              <w:rPr>
                <w:sz w:val="20"/>
                <w:szCs w:val="20"/>
              </w:rPr>
              <w:br/>
              <w:t>A light drinker</w:t>
            </w:r>
            <w:r w:rsidRPr="003832ED">
              <w:rPr>
                <w:sz w:val="20"/>
                <w:szCs w:val="20"/>
              </w:rPr>
              <w:br/>
              <w:t>A heavy drinker</w:t>
            </w:r>
          </w:p>
        </w:tc>
        <w:tc>
          <w:tcPr>
            <w:tcW w:w="761" w:type="dxa"/>
            <w:tcBorders>
              <w:left w:val="nil"/>
              <w:right w:val="nil"/>
            </w:tcBorders>
          </w:tcPr>
          <w:p w14:paraId="057ED1E8" w14:textId="77777777" w:rsidR="00453A91" w:rsidRPr="003832ED" w:rsidRDefault="00453A91" w:rsidP="00F14F33">
            <w:pPr>
              <w:spacing w:line="240" w:lineRule="auto"/>
              <w:rPr>
                <w:sz w:val="20"/>
                <w:szCs w:val="20"/>
              </w:rPr>
            </w:pPr>
            <w:r w:rsidRPr="003832ED">
              <w:rPr>
                <w:sz w:val="20"/>
                <w:szCs w:val="20"/>
              </w:rPr>
              <w:t>460</w:t>
            </w:r>
            <w:r w:rsidRPr="003832ED">
              <w:rPr>
                <w:sz w:val="20"/>
                <w:szCs w:val="20"/>
              </w:rPr>
              <w:br/>
              <w:t>54</w:t>
            </w:r>
            <w:r w:rsidRPr="003832ED">
              <w:rPr>
                <w:sz w:val="20"/>
                <w:szCs w:val="20"/>
              </w:rPr>
              <w:br/>
              <w:t>10</w:t>
            </w:r>
            <w:r w:rsidRPr="003832ED">
              <w:rPr>
                <w:sz w:val="20"/>
                <w:szCs w:val="20"/>
              </w:rPr>
              <w:br/>
              <w:t>33</w:t>
            </w:r>
          </w:p>
        </w:tc>
        <w:tc>
          <w:tcPr>
            <w:tcW w:w="733" w:type="dxa"/>
            <w:tcBorders>
              <w:left w:val="nil"/>
              <w:right w:val="nil"/>
            </w:tcBorders>
          </w:tcPr>
          <w:p w14:paraId="6D476CEC" w14:textId="77777777" w:rsidR="00453A91" w:rsidRPr="003832ED" w:rsidRDefault="00453A91" w:rsidP="00F14F33">
            <w:pPr>
              <w:spacing w:line="240" w:lineRule="auto"/>
              <w:rPr>
                <w:sz w:val="20"/>
                <w:szCs w:val="20"/>
              </w:rPr>
            </w:pPr>
            <w:r w:rsidRPr="003832ED">
              <w:rPr>
                <w:sz w:val="20"/>
                <w:szCs w:val="20"/>
              </w:rPr>
              <w:t>82.6%</w:t>
            </w:r>
            <w:r w:rsidRPr="003832ED">
              <w:rPr>
                <w:sz w:val="20"/>
                <w:szCs w:val="20"/>
              </w:rPr>
              <w:br/>
              <w:t>9.7%</w:t>
            </w:r>
            <w:r w:rsidRPr="003832ED">
              <w:rPr>
                <w:sz w:val="20"/>
                <w:szCs w:val="20"/>
              </w:rPr>
              <w:br/>
              <w:t>1.8%</w:t>
            </w:r>
            <w:r w:rsidRPr="003832ED">
              <w:rPr>
                <w:sz w:val="20"/>
                <w:szCs w:val="20"/>
              </w:rPr>
              <w:br/>
              <w:t>5.9%</w:t>
            </w:r>
          </w:p>
        </w:tc>
        <w:tc>
          <w:tcPr>
            <w:tcW w:w="667" w:type="dxa"/>
            <w:tcBorders>
              <w:left w:val="nil"/>
              <w:right w:val="nil"/>
            </w:tcBorders>
          </w:tcPr>
          <w:p w14:paraId="682A8A0D" w14:textId="77777777" w:rsidR="00453A91" w:rsidRPr="003832ED" w:rsidRDefault="00453A91" w:rsidP="00F14F33">
            <w:pPr>
              <w:spacing w:line="240" w:lineRule="auto"/>
              <w:rPr>
                <w:sz w:val="20"/>
                <w:szCs w:val="20"/>
              </w:rPr>
            </w:pPr>
            <w:r w:rsidRPr="003832ED">
              <w:rPr>
                <w:sz w:val="20"/>
                <w:szCs w:val="20"/>
              </w:rPr>
              <w:t>575</w:t>
            </w:r>
            <w:r w:rsidRPr="003832ED">
              <w:rPr>
                <w:sz w:val="20"/>
                <w:szCs w:val="20"/>
              </w:rPr>
              <w:br/>
              <w:t>75</w:t>
            </w:r>
            <w:r w:rsidRPr="003832ED">
              <w:rPr>
                <w:sz w:val="20"/>
                <w:szCs w:val="20"/>
              </w:rPr>
              <w:br/>
              <w:t>11</w:t>
            </w:r>
            <w:r w:rsidRPr="003832ED">
              <w:rPr>
                <w:sz w:val="20"/>
                <w:szCs w:val="20"/>
              </w:rPr>
              <w:br/>
              <w:t>48</w:t>
            </w:r>
          </w:p>
        </w:tc>
        <w:tc>
          <w:tcPr>
            <w:tcW w:w="733" w:type="dxa"/>
            <w:tcBorders>
              <w:left w:val="nil"/>
              <w:right w:val="nil"/>
            </w:tcBorders>
          </w:tcPr>
          <w:p w14:paraId="42FEF95A" w14:textId="77777777" w:rsidR="00453A91" w:rsidRPr="003832ED" w:rsidRDefault="00453A91" w:rsidP="00F14F33">
            <w:pPr>
              <w:spacing w:line="240" w:lineRule="auto"/>
              <w:rPr>
                <w:sz w:val="20"/>
                <w:szCs w:val="20"/>
              </w:rPr>
            </w:pPr>
            <w:r w:rsidRPr="003832ED">
              <w:rPr>
                <w:sz w:val="20"/>
                <w:szCs w:val="20"/>
              </w:rPr>
              <w:t>81.1%</w:t>
            </w:r>
            <w:r w:rsidRPr="003832ED">
              <w:rPr>
                <w:sz w:val="20"/>
                <w:szCs w:val="20"/>
              </w:rPr>
              <w:br/>
              <w:t>10.6%</w:t>
            </w:r>
            <w:r w:rsidRPr="003832ED">
              <w:rPr>
                <w:sz w:val="20"/>
                <w:szCs w:val="20"/>
              </w:rPr>
              <w:br/>
              <w:t>1.6%</w:t>
            </w:r>
            <w:r w:rsidRPr="003832ED">
              <w:rPr>
                <w:sz w:val="20"/>
                <w:szCs w:val="20"/>
              </w:rPr>
              <w:br/>
              <w:t>6.8%</w:t>
            </w:r>
          </w:p>
        </w:tc>
        <w:tc>
          <w:tcPr>
            <w:tcW w:w="662" w:type="dxa"/>
            <w:tcBorders>
              <w:left w:val="nil"/>
              <w:right w:val="nil"/>
            </w:tcBorders>
          </w:tcPr>
          <w:p w14:paraId="4AB0C95C" w14:textId="77777777" w:rsidR="00453A91" w:rsidRPr="003832ED" w:rsidRDefault="00453A91" w:rsidP="00F14F33">
            <w:pPr>
              <w:spacing w:line="240" w:lineRule="auto"/>
              <w:rPr>
                <w:sz w:val="20"/>
                <w:szCs w:val="20"/>
              </w:rPr>
            </w:pPr>
            <w:r w:rsidRPr="003832ED">
              <w:rPr>
                <w:sz w:val="20"/>
                <w:szCs w:val="20"/>
              </w:rPr>
              <w:t>556</w:t>
            </w:r>
            <w:r w:rsidRPr="003832ED">
              <w:rPr>
                <w:sz w:val="20"/>
                <w:szCs w:val="20"/>
              </w:rPr>
              <w:br/>
              <w:t>26</w:t>
            </w:r>
            <w:r w:rsidRPr="003832ED">
              <w:rPr>
                <w:sz w:val="20"/>
                <w:szCs w:val="20"/>
              </w:rPr>
              <w:br/>
              <w:t>8</w:t>
            </w:r>
            <w:r w:rsidRPr="003832ED">
              <w:rPr>
                <w:sz w:val="20"/>
                <w:szCs w:val="20"/>
              </w:rPr>
              <w:br/>
              <w:t>7</w:t>
            </w:r>
          </w:p>
        </w:tc>
        <w:tc>
          <w:tcPr>
            <w:tcW w:w="733" w:type="dxa"/>
            <w:tcBorders>
              <w:left w:val="nil"/>
              <w:right w:val="nil"/>
            </w:tcBorders>
          </w:tcPr>
          <w:p w14:paraId="7B29BC30" w14:textId="77777777" w:rsidR="00453A91" w:rsidRPr="003832ED" w:rsidRDefault="00453A91" w:rsidP="00F14F33">
            <w:pPr>
              <w:spacing w:line="240" w:lineRule="auto"/>
              <w:rPr>
                <w:sz w:val="20"/>
                <w:szCs w:val="20"/>
              </w:rPr>
            </w:pPr>
            <w:r w:rsidRPr="003832ED">
              <w:rPr>
                <w:sz w:val="20"/>
                <w:szCs w:val="20"/>
              </w:rPr>
              <w:t>93.1%</w:t>
            </w:r>
            <w:r w:rsidRPr="003832ED">
              <w:rPr>
                <w:sz w:val="20"/>
                <w:szCs w:val="20"/>
              </w:rPr>
              <w:br/>
              <w:t>4.4%</w:t>
            </w:r>
            <w:r w:rsidRPr="003832ED">
              <w:rPr>
                <w:sz w:val="20"/>
                <w:szCs w:val="20"/>
              </w:rPr>
              <w:br/>
              <w:t>1.3%</w:t>
            </w:r>
            <w:r w:rsidRPr="003832ED">
              <w:rPr>
                <w:sz w:val="20"/>
                <w:szCs w:val="20"/>
              </w:rPr>
              <w:br/>
              <w:t>1.2%</w:t>
            </w:r>
          </w:p>
        </w:tc>
        <w:tc>
          <w:tcPr>
            <w:tcW w:w="660" w:type="dxa"/>
            <w:tcBorders>
              <w:left w:val="nil"/>
              <w:right w:val="nil"/>
            </w:tcBorders>
          </w:tcPr>
          <w:p w14:paraId="0B25819D" w14:textId="77777777" w:rsidR="00453A91" w:rsidRPr="003832ED" w:rsidRDefault="00453A91" w:rsidP="00F14F33">
            <w:pPr>
              <w:spacing w:line="240" w:lineRule="auto"/>
              <w:rPr>
                <w:sz w:val="20"/>
                <w:szCs w:val="20"/>
              </w:rPr>
            </w:pPr>
            <w:r w:rsidRPr="003832ED">
              <w:rPr>
                <w:sz w:val="20"/>
                <w:szCs w:val="20"/>
              </w:rPr>
              <w:t>479</w:t>
            </w:r>
            <w:r w:rsidRPr="003832ED">
              <w:rPr>
                <w:sz w:val="20"/>
                <w:szCs w:val="20"/>
              </w:rPr>
              <w:br/>
              <w:t>103</w:t>
            </w:r>
            <w:r w:rsidRPr="003832ED">
              <w:rPr>
                <w:sz w:val="20"/>
                <w:szCs w:val="20"/>
              </w:rPr>
              <w:br/>
              <w:t>13</w:t>
            </w:r>
            <w:r w:rsidRPr="003832ED">
              <w:rPr>
                <w:sz w:val="20"/>
                <w:szCs w:val="20"/>
              </w:rPr>
              <w:br/>
              <w:t>74</w:t>
            </w:r>
          </w:p>
        </w:tc>
        <w:tc>
          <w:tcPr>
            <w:tcW w:w="733" w:type="dxa"/>
            <w:tcBorders>
              <w:left w:val="nil"/>
              <w:right w:val="nil"/>
            </w:tcBorders>
          </w:tcPr>
          <w:p w14:paraId="38EA2765" w14:textId="77777777" w:rsidR="00453A91" w:rsidRPr="003832ED" w:rsidRDefault="00453A91" w:rsidP="00F14F33">
            <w:pPr>
              <w:spacing w:line="240" w:lineRule="auto"/>
              <w:rPr>
                <w:sz w:val="20"/>
                <w:szCs w:val="20"/>
              </w:rPr>
            </w:pPr>
            <w:r w:rsidRPr="003832ED">
              <w:rPr>
                <w:sz w:val="20"/>
                <w:szCs w:val="20"/>
              </w:rPr>
              <w:t>71.6%</w:t>
            </w:r>
            <w:r w:rsidRPr="003832ED">
              <w:rPr>
                <w:sz w:val="20"/>
                <w:szCs w:val="20"/>
              </w:rPr>
              <w:br/>
              <w:t>15.4%</w:t>
            </w:r>
            <w:r w:rsidRPr="003832ED">
              <w:rPr>
                <w:sz w:val="20"/>
                <w:szCs w:val="20"/>
              </w:rPr>
              <w:br/>
              <w:t>1.9%</w:t>
            </w:r>
            <w:r w:rsidRPr="003832ED">
              <w:rPr>
                <w:sz w:val="20"/>
                <w:szCs w:val="20"/>
              </w:rPr>
              <w:br/>
              <w:t>11.1%</w:t>
            </w:r>
          </w:p>
        </w:tc>
        <w:tc>
          <w:tcPr>
            <w:tcW w:w="671" w:type="dxa"/>
            <w:tcBorders>
              <w:left w:val="nil"/>
              <w:right w:val="nil"/>
            </w:tcBorders>
          </w:tcPr>
          <w:p w14:paraId="09F632D9" w14:textId="77777777" w:rsidR="00453A91" w:rsidRPr="003832ED" w:rsidRDefault="00453A91" w:rsidP="00F14F33">
            <w:pPr>
              <w:spacing w:line="240" w:lineRule="auto"/>
              <w:rPr>
                <w:sz w:val="20"/>
                <w:szCs w:val="20"/>
              </w:rPr>
            </w:pPr>
            <w:r w:rsidRPr="003832ED">
              <w:rPr>
                <w:sz w:val="20"/>
                <w:szCs w:val="20"/>
              </w:rPr>
              <w:t>1035</w:t>
            </w:r>
            <w:r w:rsidRPr="003832ED">
              <w:rPr>
                <w:sz w:val="20"/>
                <w:szCs w:val="20"/>
              </w:rPr>
              <w:br/>
              <w:t>129</w:t>
            </w:r>
            <w:r w:rsidRPr="003832ED">
              <w:rPr>
                <w:sz w:val="20"/>
                <w:szCs w:val="20"/>
              </w:rPr>
              <w:br/>
              <w:t>21</w:t>
            </w:r>
            <w:r w:rsidRPr="003832ED">
              <w:rPr>
                <w:sz w:val="20"/>
                <w:szCs w:val="20"/>
              </w:rPr>
              <w:br/>
              <w:t>81</w:t>
            </w:r>
          </w:p>
        </w:tc>
        <w:tc>
          <w:tcPr>
            <w:tcW w:w="734" w:type="dxa"/>
            <w:tcBorders>
              <w:left w:val="nil"/>
              <w:right w:val="nil"/>
            </w:tcBorders>
          </w:tcPr>
          <w:p w14:paraId="45096A8D" w14:textId="77777777" w:rsidR="00453A91" w:rsidRPr="003832ED" w:rsidRDefault="00453A91" w:rsidP="00F14F33">
            <w:pPr>
              <w:spacing w:line="240" w:lineRule="auto"/>
              <w:rPr>
                <w:sz w:val="20"/>
                <w:szCs w:val="20"/>
              </w:rPr>
            </w:pPr>
            <w:r w:rsidRPr="003832ED">
              <w:rPr>
                <w:sz w:val="20"/>
                <w:szCs w:val="20"/>
              </w:rPr>
              <w:t>81.8%</w:t>
            </w:r>
            <w:r w:rsidRPr="003832ED">
              <w:rPr>
                <w:sz w:val="20"/>
                <w:szCs w:val="20"/>
              </w:rPr>
              <w:br/>
              <w:t>10.2%</w:t>
            </w:r>
            <w:r w:rsidRPr="003832ED">
              <w:rPr>
                <w:sz w:val="20"/>
                <w:szCs w:val="20"/>
              </w:rPr>
              <w:br/>
              <w:t>1.7%</w:t>
            </w:r>
            <w:r w:rsidRPr="003832ED">
              <w:rPr>
                <w:sz w:val="20"/>
                <w:szCs w:val="20"/>
              </w:rPr>
              <w:br/>
              <w:t>6.3%</w:t>
            </w:r>
          </w:p>
        </w:tc>
      </w:tr>
    </w:tbl>
    <w:p w14:paraId="3DF98FE0" w14:textId="77777777" w:rsidR="00453A91" w:rsidRPr="003832ED" w:rsidRDefault="00453A91" w:rsidP="00453A91">
      <w:pPr>
        <w:spacing w:line="240" w:lineRule="auto"/>
        <w:rPr>
          <w:color w:val="000000"/>
          <w:sz w:val="20"/>
          <w:szCs w:val="20"/>
        </w:rPr>
      </w:pPr>
      <w:r w:rsidRPr="003832ED">
        <w:rPr>
          <w:color w:val="000000"/>
          <w:sz w:val="20"/>
          <w:szCs w:val="20"/>
        </w:rPr>
        <w:br/>
        <w:t>Abbreviations: α = Cronbach’s alpha</w:t>
      </w:r>
    </w:p>
    <w:p w14:paraId="2A115573" w14:textId="77777777" w:rsidR="00453A91" w:rsidRPr="003832ED" w:rsidRDefault="00453A91" w:rsidP="00453A91">
      <w:pPr>
        <w:pStyle w:val="Heading3"/>
        <w:spacing w:line="240" w:lineRule="auto"/>
      </w:pPr>
      <w:r w:rsidRPr="003832ED">
        <w:br/>
      </w:r>
      <w:bookmarkStart w:id="17" w:name="_Toc16539538"/>
      <w:r w:rsidRPr="003832ED">
        <w:t>The Model Predicting Alcohol Consumption Status</w:t>
      </w:r>
      <w:bookmarkEnd w:id="17"/>
    </w:p>
    <w:p w14:paraId="7607E4C8" w14:textId="77777777" w:rsidR="00453A91" w:rsidRPr="003832ED" w:rsidRDefault="00453A91" w:rsidP="00453A91">
      <w:r w:rsidRPr="003832ED">
        <w:t xml:space="preserve">A final structural model is presented in Figure 11 and describes the associations of childhood experiences (ACES and CFD), attitudes towards alcohol consumption, subjective norms </w:t>
      </w:r>
      <w:r w:rsidRPr="003832ED">
        <w:lastRenderedPageBreak/>
        <w:t>relating to alcohol consumption and intentions to consume alcohol with alcohol consumption status, along with their interactions.</w:t>
      </w:r>
    </w:p>
    <w:p w14:paraId="27E0BBDA" w14:textId="77777777" w:rsidR="00453A91" w:rsidRPr="003832ED" w:rsidRDefault="00453A91" w:rsidP="00453A91">
      <w:pPr>
        <w:jc w:val="center"/>
      </w:pPr>
      <w:r w:rsidRPr="003832ED">
        <w:rPr>
          <w:noProof/>
        </w:rPr>
        <w:drawing>
          <wp:inline distT="0" distB="0" distL="0" distR="0" wp14:anchorId="674AAFC3" wp14:editId="3745B2F1">
            <wp:extent cx="5727700" cy="3313430"/>
            <wp:effectExtent l="0" t="0" r="0" b="1270"/>
            <wp:docPr id="22" name="Picture 2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Diagram&#10;&#10;Description automatically generated"/>
                    <pic:cNvPicPr/>
                  </pic:nvPicPr>
                  <pic:blipFill>
                    <a:blip r:embed="rId9" cstate="screen">
                      <a:extLst>
                        <a:ext uri="{28A0092B-C50C-407E-A947-70E740481C1C}">
                          <a14:useLocalDpi xmlns:a14="http://schemas.microsoft.com/office/drawing/2010/main"/>
                        </a:ext>
                      </a:extLst>
                    </a:blip>
                    <a:stretch>
                      <a:fillRect/>
                    </a:stretch>
                  </pic:blipFill>
                  <pic:spPr>
                    <a:xfrm>
                      <a:off x="0" y="0"/>
                      <a:ext cx="5727700" cy="3313430"/>
                    </a:xfrm>
                    <a:prstGeom prst="rect">
                      <a:avLst/>
                    </a:prstGeom>
                  </pic:spPr>
                </pic:pic>
              </a:graphicData>
            </a:graphic>
          </wp:inline>
        </w:drawing>
      </w:r>
    </w:p>
    <w:p w14:paraId="739362F3" w14:textId="77777777" w:rsidR="00453A91" w:rsidRPr="003832ED" w:rsidRDefault="00453A91" w:rsidP="00453A91">
      <w:r w:rsidRPr="003832ED">
        <w:rPr>
          <w:i/>
        </w:rPr>
        <w:t xml:space="preserve"> </w:t>
      </w:r>
      <w:bookmarkStart w:id="18" w:name="_Toc4339149"/>
      <w:r w:rsidRPr="003832ED">
        <w:rPr>
          <w:i/>
        </w:rPr>
        <w:t xml:space="preserve">Figure </w:t>
      </w:r>
      <w:r w:rsidRPr="003832ED">
        <w:rPr>
          <w:i/>
        </w:rPr>
        <w:fldChar w:fldCharType="begin"/>
      </w:r>
      <w:r w:rsidRPr="003832ED">
        <w:rPr>
          <w:i/>
        </w:rPr>
        <w:instrText xml:space="preserve"> SEQ Figure \* ARABIC </w:instrText>
      </w:r>
      <w:r w:rsidRPr="003832ED">
        <w:rPr>
          <w:i/>
        </w:rPr>
        <w:fldChar w:fldCharType="separate"/>
      </w:r>
      <w:r w:rsidRPr="003832ED">
        <w:rPr>
          <w:i/>
          <w:noProof/>
        </w:rPr>
        <w:t>11</w:t>
      </w:r>
      <w:r w:rsidRPr="003832ED">
        <w:rPr>
          <w:i/>
        </w:rPr>
        <w:fldChar w:fldCharType="end"/>
      </w:r>
      <w:r w:rsidRPr="003832ED">
        <w:rPr>
          <w:i/>
        </w:rPr>
        <w:t xml:space="preserve">. </w:t>
      </w:r>
      <w:r w:rsidRPr="003832ED">
        <w:t>Structural equation model predicting alcohol consumption status in adolescents</w:t>
      </w:r>
      <w:bookmarkEnd w:id="18"/>
    </w:p>
    <w:p w14:paraId="7847EC6D" w14:textId="77777777" w:rsidR="00453A91" w:rsidRPr="003832ED" w:rsidRDefault="00453A91" w:rsidP="00453A91">
      <w:r w:rsidRPr="003832ED">
        <w:t xml:space="preserve">The final structural model fitted the data very well, as indicated by the goodness-of-fit indices (CMIN/DF=2.365; NFI=0.997, RFI=0.978; IFI=0.998; TLI=0.987, CFI=0.998 and RMSEA=0.033). The subjective norm items asking: “It is ok for me to say ‘no’ to drinking if </w:t>
      </w:r>
      <w:r w:rsidRPr="003832ED">
        <w:rPr>
          <w:bCs/>
        </w:rPr>
        <w:t xml:space="preserve">friends </w:t>
      </w:r>
      <w:r w:rsidRPr="003832ED">
        <w:t xml:space="preserve">offer me a drink” and “It is ok for me to say ‘no’ to drinking if </w:t>
      </w:r>
      <w:r w:rsidRPr="003832ED">
        <w:rPr>
          <w:bCs/>
        </w:rPr>
        <w:t xml:space="preserve">family members </w:t>
      </w:r>
      <w:r w:rsidRPr="003832ED">
        <w:t xml:space="preserve">offer me a drink” were removed from the model due to their non-significant contributions generating the final structural model (Figure 11). Standardized path coefficients are presented as single-headed arrows in the final model. All shown paths are statistically significant including all indirect and combined total pathways. The squared multiple correlation calculated for ACS of 0.48 indicates that the model explained 48% of the variance for alcohol consumption status. The attitudinal variable: “Alcohol is harmful to my health”, and the subjective norm variables “It is ok for me to say ‘no’ to drinking if </w:t>
      </w:r>
      <w:r w:rsidRPr="003832ED">
        <w:rPr>
          <w:bCs/>
        </w:rPr>
        <w:t xml:space="preserve">friends </w:t>
      </w:r>
      <w:r w:rsidRPr="003832ED">
        <w:t xml:space="preserve">offer me a drink” </w:t>
      </w:r>
      <w:r w:rsidRPr="003832ED">
        <w:lastRenderedPageBreak/>
        <w:t xml:space="preserve">and “It is ok for me to say ‘no’ to drinking if </w:t>
      </w:r>
      <w:r w:rsidRPr="003832ED">
        <w:rPr>
          <w:bCs/>
        </w:rPr>
        <w:t xml:space="preserve">family members </w:t>
      </w:r>
      <w:r w:rsidRPr="003832ED">
        <w:t>offer me a drink” were removed from the final structural model because of their non-significant contributions to ACS.</w:t>
      </w:r>
    </w:p>
    <w:p w14:paraId="7A45FE04" w14:textId="77777777" w:rsidR="00453A91" w:rsidRPr="003832ED" w:rsidRDefault="00453A91" w:rsidP="00453A91">
      <w:r w:rsidRPr="003832ED">
        <w:t>The combined direct and indirect association (β</w:t>
      </w:r>
      <w:r w:rsidRPr="003832ED">
        <w:rPr>
          <w:vertAlign w:val="subscript"/>
        </w:rPr>
        <w:t>total</w:t>
      </w:r>
      <w:r w:rsidRPr="003832ED">
        <w:t>) of the two attitudinal variables (“It is ok to drink alcohol at my age”, “Alcohol is harmful to my relationships”) with ACS was β</w:t>
      </w:r>
      <w:r w:rsidRPr="003832ED">
        <w:rPr>
          <w:vertAlign w:val="subscript"/>
        </w:rPr>
        <w:t>total</w:t>
      </w:r>
      <w:r w:rsidRPr="003832ED">
        <w:t xml:space="preserve"> = 0.36. This compared with the combined direct and indirect association of the subjective </w:t>
      </w:r>
      <w:proofErr w:type="gramStart"/>
      <w:r w:rsidRPr="003832ED">
        <w:t>norms</w:t>
      </w:r>
      <w:proofErr w:type="gramEnd"/>
      <w:r w:rsidRPr="003832ED">
        <w:t xml:space="preserve"> variable (“Some of my close friends drank alcohol in the past month”) with ACS which was β</w:t>
      </w:r>
      <w:r w:rsidRPr="003832ED">
        <w:rPr>
          <w:vertAlign w:val="subscript"/>
        </w:rPr>
        <w:t>total</w:t>
      </w:r>
      <w:r w:rsidRPr="003832ED">
        <w:t xml:space="preserve"> = 0.17. Of the childhood factors measured in the model, the combined direct and indirect association of ACEs with ACS was β</w:t>
      </w:r>
      <w:r w:rsidRPr="003832ED">
        <w:rPr>
          <w:vertAlign w:val="subscript"/>
        </w:rPr>
        <w:t>total</w:t>
      </w:r>
      <w:r w:rsidRPr="003832ED">
        <w:t xml:space="preserve"> = 0.14 compared to the combined direct and indirect association of CFD with ACS which was β</w:t>
      </w:r>
      <w:r w:rsidRPr="003832ED">
        <w:rPr>
          <w:vertAlign w:val="subscript"/>
        </w:rPr>
        <w:t>total</w:t>
      </w:r>
      <w:r w:rsidRPr="003832ED">
        <w:t xml:space="preserve"> = -0.10. </w:t>
      </w:r>
    </w:p>
    <w:p w14:paraId="6A2ED95C" w14:textId="77777777" w:rsidR="00453A91" w:rsidRPr="003832ED" w:rsidRDefault="00453A91" w:rsidP="00453A91">
      <w:r w:rsidRPr="003832ED">
        <w:t>Multi-group analysis for gender (Figure 12) found a significant difference in the path coefficient between CFD and “Alcohol is harmful to my relationships” with this association stronger for males (</w:t>
      </w:r>
      <w:r w:rsidRPr="003832ED">
        <w:rPr>
          <w:color w:val="000000"/>
        </w:rPr>
        <w:t>β</w:t>
      </w:r>
      <w:r w:rsidRPr="003832ED">
        <w:t xml:space="preserve"> = 0.15) than for females (</w:t>
      </w:r>
      <w:r w:rsidRPr="003832ED">
        <w:rPr>
          <w:color w:val="000000"/>
        </w:rPr>
        <w:t>β</w:t>
      </w:r>
      <w:r w:rsidRPr="003832ED">
        <w:t xml:space="preserve"> = 0.01). A significant difference in the path coefficient was also found between “It is ok to drink alcohol at my age” and “I plan to drink alcohol at my age” with this association stronger for males (</w:t>
      </w:r>
      <w:r w:rsidRPr="003832ED">
        <w:rPr>
          <w:color w:val="000000"/>
        </w:rPr>
        <w:t>β</w:t>
      </w:r>
      <w:r w:rsidRPr="003832ED">
        <w:t xml:space="preserve"> = 0.58) than for females (</w:t>
      </w:r>
      <w:r w:rsidRPr="003832ED">
        <w:rPr>
          <w:color w:val="000000"/>
        </w:rPr>
        <w:t>β</w:t>
      </w:r>
      <w:r w:rsidRPr="003832ED">
        <w:t xml:space="preserve"> = 0.49). </w:t>
      </w:r>
    </w:p>
    <w:p w14:paraId="22558CA5" w14:textId="77777777" w:rsidR="00453A91" w:rsidRPr="003832ED" w:rsidRDefault="00453A91" w:rsidP="00453A91">
      <w:r w:rsidRPr="003832ED">
        <w:t>Multi-group analysis for age groups (12–14yrs versus 15–18yrs) (Figure 12) found a significant difference in three path coefficients. Firstly, the association between ACEs and “Alcohol is harmful to my relationships”, was significantly stronger for older adolescents (</w:t>
      </w:r>
      <w:r w:rsidRPr="003832ED">
        <w:rPr>
          <w:color w:val="000000"/>
        </w:rPr>
        <w:t>β</w:t>
      </w:r>
      <w:r w:rsidRPr="003832ED">
        <w:t xml:space="preserve"> = -0.16) than for younger adolescents (</w:t>
      </w:r>
      <w:r w:rsidRPr="003832ED">
        <w:rPr>
          <w:color w:val="000000"/>
        </w:rPr>
        <w:t>β</w:t>
      </w:r>
      <w:r w:rsidRPr="003832ED">
        <w:t xml:space="preserve"> = -0.03). Secondly, the association between “It is ok to drink alcohol at my age” and “I plan to drink alcohol at my age” was stronger for older adolescents (</w:t>
      </w:r>
      <w:r w:rsidRPr="003832ED">
        <w:rPr>
          <w:color w:val="000000"/>
        </w:rPr>
        <w:t>β</w:t>
      </w:r>
      <w:r w:rsidRPr="003832ED">
        <w:t xml:space="preserve"> = 0.57) than for younger adolescents (</w:t>
      </w:r>
      <w:r w:rsidRPr="003832ED">
        <w:rPr>
          <w:color w:val="000000"/>
        </w:rPr>
        <w:t>β</w:t>
      </w:r>
      <w:r w:rsidRPr="003832ED">
        <w:t xml:space="preserve"> = 0.36). Thirdly, the association between “I plan to drink alcohol at my age” and ACS was stronger for older adolescents (</w:t>
      </w:r>
      <w:r w:rsidRPr="003832ED">
        <w:rPr>
          <w:color w:val="000000"/>
        </w:rPr>
        <w:t>β</w:t>
      </w:r>
      <w:r w:rsidRPr="003832ED">
        <w:t xml:space="preserve"> = 0.51) than for younger adolescents (</w:t>
      </w:r>
      <w:r w:rsidRPr="003832ED">
        <w:rPr>
          <w:color w:val="000000"/>
        </w:rPr>
        <w:t>β</w:t>
      </w:r>
      <w:r w:rsidRPr="003832ED">
        <w:t xml:space="preserve"> = 0.46).</w:t>
      </w:r>
    </w:p>
    <w:p w14:paraId="470150D6" w14:textId="77777777" w:rsidR="00453A91" w:rsidRPr="003832ED" w:rsidRDefault="00453A91" w:rsidP="00453A91">
      <w:pPr>
        <w:jc w:val="center"/>
      </w:pPr>
      <w:r w:rsidRPr="003832ED">
        <w:rPr>
          <w:noProof/>
        </w:rPr>
        <w:lastRenderedPageBreak/>
        <w:drawing>
          <wp:inline distT="0" distB="0" distL="0" distR="0" wp14:anchorId="07EE9EFF" wp14:editId="68564F23">
            <wp:extent cx="5727700" cy="3313430"/>
            <wp:effectExtent l="0" t="0" r="0" b="1270"/>
            <wp:docPr id="23" name="Picture 2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Diagram&#10;&#10;Description automatically generated"/>
                    <pic:cNvPicPr/>
                  </pic:nvPicPr>
                  <pic:blipFill>
                    <a:blip r:embed="rId10" cstate="screen">
                      <a:extLst>
                        <a:ext uri="{28A0092B-C50C-407E-A947-70E740481C1C}">
                          <a14:useLocalDpi xmlns:a14="http://schemas.microsoft.com/office/drawing/2010/main"/>
                        </a:ext>
                      </a:extLst>
                    </a:blip>
                    <a:stretch>
                      <a:fillRect/>
                    </a:stretch>
                  </pic:blipFill>
                  <pic:spPr>
                    <a:xfrm>
                      <a:off x="0" y="0"/>
                      <a:ext cx="5727700" cy="3313430"/>
                    </a:xfrm>
                    <a:prstGeom prst="rect">
                      <a:avLst/>
                    </a:prstGeom>
                  </pic:spPr>
                </pic:pic>
              </a:graphicData>
            </a:graphic>
          </wp:inline>
        </w:drawing>
      </w:r>
    </w:p>
    <w:p w14:paraId="1886F2BE" w14:textId="77777777" w:rsidR="00453A91" w:rsidRPr="003832ED" w:rsidRDefault="00453A91" w:rsidP="00453A91">
      <w:pPr>
        <w:spacing w:line="240" w:lineRule="auto"/>
        <w:rPr>
          <w:sz w:val="20"/>
          <w:szCs w:val="20"/>
        </w:rPr>
      </w:pPr>
      <w:proofErr w:type="gramStart"/>
      <w:r w:rsidRPr="003832ED">
        <w:rPr>
          <w:sz w:val="20"/>
          <w:szCs w:val="20"/>
        </w:rPr>
        <w:t>Males(</w:t>
      </w:r>
      <w:proofErr w:type="gramEnd"/>
      <w:r w:rsidRPr="003832ED">
        <w:rPr>
          <w:sz w:val="20"/>
          <w:szCs w:val="20"/>
        </w:rPr>
        <w:t>Females); * Significant difference between males and females at p &lt; .05</w:t>
      </w:r>
    </w:p>
    <w:p w14:paraId="0C1B2411" w14:textId="77777777" w:rsidR="00453A91" w:rsidRPr="003832ED" w:rsidRDefault="00453A91" w:rsidP="00453A91">
      <w:pPr>
        <w:spacing w:line="240" w:lineRule="auto"/>
        <w:rPr>
          <w:sz w:val="20"/>
          <w:szCs w:val="20"/>
        </w:rPr>
      </w:pPr>
      <w:bookmarkStart w:id="19" w:name="_Toc4339150"/>
      <w:r w:rsidRPr="003832ED">
        <w:rPr>
          <w:i/>
        </w:rPr>
        <w:t xml:space="preserve">Figure </w:t>
      </w:r>
      <w:r w:rsidRPr="003832ED">
        <w:rPr>
          <w:i/>
        </w:rPr>
        <w:fldChar w:fldCharType="begin"/>
      </w:r>
      <w:r w:rsidRPr="003832ED">
        <w:rPr>
          <w:i/>
        </w:rPr>
        <w:instrText xml:space="preserve"> SEQ Figure \* ARABIC </w:instrText>
      </w:r>
      <w:r w:rsidRPr="003832ED">
        <w:rPr>
          <w:i/>
        </w:rPr>
        <w:fldChar w:fldCharType="separate"/>
      </w:r>
      <w:r w:rsidRPr="003832ED">
        <w:rPr>
          <w:i/>
          <w:noProof/>
        </w:rPr>
        <w:t>12</w:t>
      </w:r>
      <w:r w:rsidRPr="003832ED">
        <w:rPr>
          <w:i/>
        </w:rPr>
        <w:fldChar w:fldCharType="end"/>
      </w:r>
      <w:r w:rsidRPr="003832ED">
        <w:rPr>
          <w:i/>
        </w:rPr>
        <w:t xml:space="preserve">. </w:t>
      </w:r>
      <w:r w:rsidRPr="003832ED">
        <w:t>Structural equation model multi-group analysis for gender</w:t>
      </w:r>
      <w:bookmarkEnd w:id="19"/>
    </w:p>
    <w:p w14:paraId="084346C5" w14:textId="77777777" w:rsidR="00453A91" w:rsidRPr="003832ED" w:rsidRDefault="00453A91" w:rsidP="00453A91">
      <w:pPr>
        <w:spacing w:line="240" w:lineRule="auto"/>
        <w:rPr>
          <w:sz w:val="20"/>
          <w:szCs w:val="20"/>
        </w:rPr>
      </w:pPr>
    </w:p>
    <w:p w14:paraId="17FE9596" w14:textId="77777777" w:rsidR="00453A91" w:rsidRPr="003832ED" w:rsidRDefault="00453A91" w:rsidP="00453A91">
      <w:r w:rsidRPr="003832ED">
        <w:t>Multi-group analysis for age groups (12–14yrs versus 15–18yrs) (Figure 4) found a significant difference in three path coefficients. Firstly, the association between ACEs and “Alcohol is harmful to my relationships”, was significantly stronger for older adolescents (</w:t>
      </w:r>
      <w:r w:rsidRPr="003832ED">
        <w:rPr>
          <w:color w:val="000000"/>
        </w:rPr>
        <w:t>β</w:t>
      </w:r>
      <w:r w:rsidRPr="003832ED">
        <w:t xml:space="preserve"> = -0.16) than for younger adolescents (</w:t>
      </w:r>
      <w:r w:rsidRPr="003832ED">
        <w:rPr>
          <w:color w:val="000000"/>
        </w:rPr>
        <w:t>β</w:t>
      </w:r>
      <w:r w:rsidRPr="003832ED">
        <w:t xml:space="preserve"> = -0.03). Secondly, the association between “It is ok to drink alcohol at my age” and “I plan to drink alcohol at my age” was stronger for older adolescents (</w:t>
      </w:r>
      <w:r w:rsidRPr="003832ED">
        <w:rPr>
          <w:color w:val="000000"/>
        </w:rPr>
        <w:t>β</w:t>
      </w:r>
      <w:r w:rsidRPr="003832ED">
        <w:t xml:space="preserve"> = 0.57) than for younger adolescents (</w:t>
      </w:r>
      <w:r w:rsidRPr="003832ED">
        <w:rPr>
          <w:color w:val="000000"/>
        </w:rPr>
        <w:t>β</w:t>
      </w:r>
      <w:r w:rsidRPr="003832ED">
        <w:t xml:space="preserve"> = 0.36). Thirdly, the association between “I plan to drink alcohol at my age” and ACS was stronger for older adolescents (</w:t>
      </w:r>
      <w:r w:rsidRPr="003832ED">
        <w:rPr>
          <w:color w:val="000000"/>
        </w:rPr>
        <w:t>β</w:t>
      </w:r>
      <w:r w:rsidRPr="003832ED">
        <w:t xml:space="preserve"> = 0.51) than for younger adolescents (</w:t>
      </w:r>
      <w:r w:rsidRPr="003832ED">
        <w:rPr>
          <w:color w:val="000000"/>
        </w:rPr>
        <w:t>β</w:t>
      </w:r>
      <w:r w:rsidRPr="003832ED">
        <w:t xml:space="preserve"> = 0.46).</w:t>
      </w:r>
    </w:p>
    <w:p w14:paraId="1CBD60CE" w14:textId="77777777" w:rsidR="00453A91" w:rsidRPr="003832ED" w:rsidRDefault="00453A91" w:rsidP="00453A91">
      <w:pPr>
        <w:spacing w:line="240" w:lineRule="auto"/>
        <w:rPr>
          <w:sz w:val="20"/>
          <w:szCs w:val="20"/>
        </w:rPr>
      </w:pPr>
      <w:r w:rsidRPr="003832ED">
        <w:rPr>
          <w:noProof/>
        </w:rPr>
        <w:lastRenderedPageBreak/>
        <w:drawing>
          <wp:inline distT="0" distB="0" distL="0" distR="0" wp14:anchorId="5226DBE3" wp14:editId="37CE7C11">
            <wp:extent cx="5727700" cy="3313430"/>
            <wp:effectExtent l="0" t="0" r="0" b="1270"/>
            <wp:docPr id="24" name="Picture 2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Diagram&#10;&#10;Description automatically generated"/>
                    <pic:cNvPicPr/>
                  </pic:nvPicPr>
                  <pic:blipFill>
                    <a:blip r:embed="rId11" cstate="screen">
                      <a:extLst>
                        <a:ext uri="{28A0092B-C50C-407E-A947-70E740481C1C}">
                          <a14:useLocalDpi xmlns:a14="http://schemas.microsoft.com/office/drawing/2010/main"/>
                        </a:ext>
                      </a:extLst>
                    </a:blip>
                    <a:stretch>
                      <a:fillRect/>
                    </a:stretch>
                  </pic:blipFill>
                  <pic:spPr>
                    <a:xfrm>
                      <a:off x="0" y="0"/>
                      <a:ext cx="5727700" cy="3313430"/>
                    </a:xfrm>
                    <a:prstGeom prst="rect">
                      <a:avLst/>
                    </a:prstGeom>
                  </pic:spPr>
                </pic:pic>
              </a:graphicData>
            </a:graphic>
          </wp:inline>
        </w:drawing>
      </w:r>
      <w:r w:rsidRPr="003832ED">
        <w:br/>
      </w:r>
    </w:p>
    <w:p w14:paraId="283772FD" w14:textId="77777777" w:rsidR="00453A91" w:rsidRPr="003832ED" w:rsidRDefault="00453A91" w:rsidP="00453A91">
      <w:pPr>
        <w:spacing w:line="240" w:lineRule="auto"/>
        <w:rPr>
          <w:sz w:val="20"/>
          <w:szCs w:val="20"/>
        </w:rPr>
      </w:pPr>
      <w:r w:rsidRPr="003832ED">
        <w:rPr>
          <w:sz w:val="20"/>
          <w:szCs w:val="20"/>
        </w:rPr>
        <w:t>Younger adolescents, 12–14 years (Older adolescents, 15–18 years)</w:t>
      </w:r>
      <w:r w:rsidRPr="003832ED">
        <w:rPr>
          <w:sz w:val="20"/>
          <w:szCs w:val="20"/>
        </w:rPr>
        <w:br/>
        <w:t>* Significant difference between younger and older adolescents at p &lt; .05</w:t>
      </w:r>
    </w:p>
    <w:p w14:paraId="72431791" w14:textId="77777777" w:rsidR="00453A91" w:rsidRPr="003832ED" w:rsidRDefault="00453A91" w:rsidP="00453A91">
      <w:pPr>
        <w:rPr>
          <w:sz w:val="20"/>
          <w:szCs w:val="20"/>
        </w:rPr>
      </w:pPr>
      <w:bookmarkStart w:id="20" w:name="_Toc4339151"/>
      <w:r w:rsidRPr="003832ED">
        <w:rPr>
          <w:i/>
        </w:rPr>
        <w:t xml:space="preserve">Figure </w:t>
      </w:r>
      <w:r w:rsidRPr="003832ED">
        <w:rPr>
          <w:i/>
        </w:rPr>
        <w:fldChar w:fldCharType="begin"/>
      </w:r>
      <w:r w:rsidRPr="003832ED">
        <w:rPr>
          <w:i/>
        </w:rPr>
        <w:instrText xml:space="preserve"> SEQ Figure \* ARABIC </w:instrText>
      </w:r>
      <w:r w:rsidRPr="003832ED">
        <w:rPr>
          <w:i/>
        </w:rPr>
        <w:fldChar w:fldCharType="separate"/>
      </w:r>
      <w:r w:rsidRPr="003832ED">
        <w:rPr>
          <w:i/>
          <w:noProof/>
        </w:rPr>
        <w:t>13</w:t>
      </w:r>
      <w:r w:rsidRPr="003832ED">
        <w:rPr>
          <w:i/>
        </w:rPr>
        <w:fldChar w:fldCharType="end"/>
      </w:r>
      <w:r w:rsidRPr="003832ED">
        <w:rPr>
          <w:i/>
        </w:rPr>
        <w:t xml:space="preserve">. </w:t>
      </w:r>
      <w:r w:rsidRPr="003832ED">
        <w:t>Structural equation model multi-group analysis for age groups</w:t>
      </w:r>
      <w:bookmarkEnd w:id="20"/>
    </w:p>
    <w:p w14:paraId="12EC16B5" w14:textId="77777777" w:rsidR="00453A91" w:rsidRPr="003832ED" w:rsidRDefault="00453A91" w:rsidP="00453A91">
      <w:pPr>
        <w:pStyle w:val="Heading2"/>
      </w:pPr>
      <w:bookmarkStart w:id="21" w:name="_Toc16539539"/>
      <w:r w:rsidRPr="003832ED">
        <w:t>Discussion</w:t>
      </w:r>
      <w:bookmarkEnd w:id="21"/>
    </w:p>
    <w:p w14:paraId="062FC924" w14:textId="77777777" w:rsidR="00453A91" w:rsidRPr="003832ED" w:rsidRDefault="00453A91" w:rsidP="00453A91">
      <w:r w:rsidRPr="003832ED">
        <w:t>This study explored a complex network of factors predicting alcohol consumption status in adolescents</w:t>
      </w:r>
      <w:r w:rsidRPr="003832ED">
        <w:rPr>
          <w:rFonts w:eastAsiaTheme="majorEastAsia"/>
          <w:bCs/>
        </w:rPr>
        <w:t xml:space="preserve"> attending faith-based schools that promote alcohol abstinence</w:t>
      </w:r>
      <w:r w:rsidRPr="003832ED">
        <w:t xml:space="preserve">. The study was unique in that it simultaneously measured the association of both negative and positive childhood experiences, current attitudes and subjective norms with intentions to consume alcohol and alcohol consumption status. </w:t>
      </w:r>
    </w:p>
    <w:p w14:paraId="72442412" w14:textId="77777777" w:rsidR="00453A91" w:rsidRPr="003832ED" w:rsidRDefault="00453A91" w:rsidP="00453A91">
      <w:r w:rsidRPr="003832ED">
        <w:t xml:space="preserve">Eighty-two per cent of adolescents in this study reported that they were non-drinkers compared to 66% in a 2011 national study </w:t>
      </w:r>
      <w:r w:rsidRPr="003832ED">
        <w:fldChar w:fldCharType="begin"/>
      </w:r>
      <w:r w:rsidRPr="003832ED">
        <w:instrText xml:space="preserve"> ADDIN ZOTERO_ITEM CSL_CITATION {"citationID":"KT0nZ2AU","properties":{"formattedCitation":"(White &amp; Bariola, 2012)","plainCitation":"(White &amp; Bariola, 2012)","noteIndex":0},"citationItems":[{"id":2117,"uris":["http://zotero.org/users/1335606/items/PSN552ZG"],"uri":["http://zotero.org/users/1335606/items/PSN552ZG"],"itemData":{"id":2117,"type":"report","title":"Australian secondary school students’ use of tobacco, alcohol, and over-the- counter and illicit substances in 2011","publisher":"The Cancer Council Victoria","publisher-place":"Melbourne","event-place":"Melbourne","URL":"http://www.nationaldrugstrategy.gov.au/internet/drugstrategy/Publishing.nsf/content/BCBF6B2C638E1202CA257ACD0020E35C/$File/National%20Report_FINAL_ASSAD_7.12.pdf","author":[{"family":"White","given":""},{"family":"Bariola","given":""}],"issued":{"date-parts":[["2012"]]}}}],"schema":"https://github.com/citation-style-language/schema/raw/master/csl-citation.json"} </w:instrText>
      </w:r>
      <w:r w:rsidRPr="003832ED">
        <w:fldChar w:fldCharType="separate"/>
      </w:r>
      <w:r w:rsidRPr="003832ED">
        <w:rPr>
          <w:noProof/>
        </w:rPr>
        <w:t>(White &amp; Bariola, 2012)</w:t>
      </w:r>
      <w:r w:rsidRPr="003832ED">
        <w:fldChar w:fldCharType="end"/>
      </w:r>
      <w:r w:rsidRPr="003832ED">
        <w:t xml:space="preserve"> and 69% in a South Australian study </w:t>
      </w:r>
      <w:r w:rsidRPr="003832ED">
        <w:fldChar w:fldCharType="begin"/>
      </w:r>
      <w:r w:rsidRPr="003832ED">
        <w:instrText xml:space="preserve"> ADDIN ZOTERO_ITEM CSL_CITATION {"citationID":"yESZrwGN","properties":{"formattedCitation":"(Bowden et al., 2017a)","plainCitation":"(Bowden et al., 2017a)","noteIndex":0},"citationItems":[{"id":1971,"uris":["http://zotero.org/users/1335606/items/WFDH2XM5"],"uri":["http://zotero.org/users/1335606/items/WFDH2XM5"],"itemData":{"id":1971,"type":"article-journal","title":"Prevalence, perceptions and predictors of alcohol consumption and abstinence among South Australian school students: a cross-sectional analysis","container-title":"BMC Public Health","volume":"17","source":"PubMed Central","abstract":"Background\nAlcohol consumption by young people (particularly early initiation) is a predictor for poorer health in later life. In addition, evidence now clearly shows a causal link between alcohol and cancer. This study investigated prevalence, predictors of alcohol consumption among adolescents including perceptions of the link between alcohol and cancer, and the role of parents and peers.\n\nMethods\nA sample of Australian school students aged 12–17 years participated in a survey (n = 2885). Logistic regression analysis was undertaken to determine predictors.\n\nResults\nAlcohol use increased with age and by 16, most had tried alcohol with 33.1% of students aged 12–17 reporting that they drank at least occasionally (95% CI = 31.0–35.2). Awareness of the link between alcohol and cancer was low (28.5%). Smoking status and friends’ approval were predictive of drinking, whereas parental disapproval was protective. Those aged 14–17 who did not think the link between alcohol and cancer was important were more likely to drink, as were those living in areas of least disadvantage. The only factors that predicted recent drinking were smoking and the perception that alcohol was easy to purchase.\n\nConclusions\nAn education campaign highlighting the link between alcohol and cancer may have positive flow-on effects for young people, and schools should incorporate this messaging into any alcohol education programs. Consideration should be given to factors that serve to regulate under-aged accessibility of alcohol.","URL":"http://www.ncbi.nlm.nih.gov/pmc/articles/PMC5461699/","DOI":"10.1186/s12889-017-4475-5","ISSN":"1471-2458","note":"PMID: 28592268\nPMCID: PMC5461699","title-short":"Prevalence, perceptions and predictors of alcohol consumption and abstinence among South Australian school students","journalAbbreviation":"BMC Public Health","author":[{"family":"Bowden","given":"Jacqueline A."},{"family":"Delfabbro","given":"Paul"},{"family":"Room","given":"Robin"},{"family":"Miller","given":"Caroline L."},{"family":"Wilson","given":"Carlene"}],"issued":{"date-parts":[["2017",6,7]]},"accessed":{"date-parts":[["2017",8,4]]}}}],"schema":"https://github.com/citation-style-language/schema/raw/master/csl-citation.json"} </w:instrText>
      </w:r>
      <w:r w:rsidRPr="003832ED">
        <w:fldChar w:fldCharType="separate"/>
      </w:r>
      <w:r w:rsidRPr="003832ED">
        <w:rPr>
          <w:noProof/>
        </w:rPr>
        <w:t>(Bowden et al., 2017a)</w:t>
      </w:r>
      <w:r w:rsidRPr="003832ED">
        <w:fldChar w:fldCharType="end"/>
      </w:r>
      <w:r w:rsidRPr="003832ED">
        <w:t xml:space="preserve">. These previous studies utilized the same item to measure ACS. The lower rates of alcohol consumption in this study may be due to the high percentage (47%) of adolescents in this study that identify as Adventist. Indeed, more </w:t>
      </w:r>
      <w:r w:rsidRPr="003832ED">
        <w:lastRenderedPageBreak/>
        <w:t xml:space="preserve">students identifying as Adventist reported belonging to the ACS non-drinker category compared to non-Adventist students. Previous research links religion with lower rates of alcohol consumption in adolescents across multiple measures of religiosity </w:t>
      </w:r>
      <w:r w:rsidRPr="003832ED">
        <w:fldChar w:fldCharType="begin"/>
      </w:r>
      <w:r w:rsidRPr="003832ED">
        <w:instrText xml:space="preserve"> ADDIN ZOTERO_ITEM CSL_CITATION {"citationID":"60oGgMNQ","properties":{"formattedCitation":"(Sinha, Cnaan, &amp; Gelles, 2007b)","plainCitation":"(Sinha, Cnaan, &amp; Gelles, 2007b)","noteIndex":0},"citationItems":[{"id":2891,"uris":["http://zotero.org/users/1335606/items/8NMA57BR"],"uri":["http://zotero.org/users/1335606/items/8NMA57BR"],"itemData":{"id":2891,"type":"article-journal","title":"Adolescent risk behaviors and religion: Findings from a national study","container-title":"Journal of Adolescence","page":"231-249","volume":"30","issue":"2","source":"ScienceDirect","abstract":"Too few studies have assessed the relationship between youth risk behaviors and religiosity using measures which captured the varied extent to which youth are engaged in religion. This study applied three measures of religiosity and risk behaviors. In addition, this study ascertained information about youths’ participation in religious activities from a parent or caretaker. Based on a national random sample of 2004 teens (ages 11–18), this study indicates that youth perceive religion as important, are active in religious worship and activities, and further shows that perceived importance of religion as well as participation in religious activities are associated with decreased risk behaviors. Looking at ten risk behaviors, religiosity variables were consistently associated with reduced risk behaviors in the areas of: smoking, alcohol use, truancy, sexual activity, marijuana use, and depression. In the case of these six risk variables, religiosity variables were significantly associated with reduced risk behaviors when controlling for family background variables and self-esteem. The study highlights the importance of further understanding the relationship between religious variables, background variables, self-esteem, and youth risk behaviors.","DOI":"10.1016/j.adolescence.2006.02.005","ISSN":"0140-1971","title-short":"Adolescent risk behaviors and religion","journalAbbreviation":"Journal of Adolescence","author":[{"family":"Sinha","given":"Jill W."},{"family":"Cnaan","given":"Ram A."},{"family":"Gelles","given":"Richard J."}],"issued":{"date-parts":[["2007",4,1]]}}}],"schema":"https://github.com/citation-style-language/schema/raw/master/csl-citation.json"} </w:instrText>
      </w:r>
      <w:r w:rsidRPr="003832ED">
        <w:fldChar w:fldCharType="separate"/>
      </w:r>
      <w:r w:rsidRPr="003832ED">
        <w:rPr>
          <w:noProof/>
        </w:rPr>
        <w:t>(Sinha, Cnaan, &amp; Gelles, 2007b)</w:t>
      </w:r>
      <w:r w:rsidRPr="003832ED">
        <w:fldChar w:fldCharType="end"/>
      </w:r>
      <w:r w:rsidRPr="003832ED">
        <w:t xml:space="preserve"> however other research has suggested that the protective effect of religion operated more strongly for some religions compared to others </w:t>
      </w:r>
      <w:r w:rsidRPr="003832ED">
        <w:fldChar w:fldCharType="begin"/>
      </w:r>
      <w:r w:rsidRPr="003832ED">
        <w:instrText xml:space="preserve"> ADDIN ZOTERO_ITEM CSL_CITATION {"citationID":"VVcQcOOv","properties":{"formattedCitation":"(Marsiglia, Kulis, Nieri, &amp; Parsai, 2005)","plainCitation":"(Marsiglia, Kulis, Nieri, &amp; Parsai, 2005)","noteIndex":0},"citationItems":[{"id":2894,"uris":["http://zotero.org/users/1335606/items/BEC7D4W7"],"uri":["http://zotero.org/users/1335606/items/BEC7D4W7"],"itemData":{"id":2894,"type":"article-journal","title":"God Forbid! Substance Use Among Religious and Nonreligious Youth","container-title":"The American journal of orthopsychiatry","page":"585-598","volume":"75","issue":"4","source":"PubMed Central","abstract":"Among a predominately Mexican and Mexican American sample of preadolescents, religiosity protected against lifetime alcohol, cigarette, and marijuana use and recent alcohol and cigarette use when religious affiliation was controlled. When religiosity was controlled, however, adolescents with no religious affiliation and adolescents who were religiously affiliated reported similar substance use outcomes. Interaction effects demonstrated that the protective effect of greater religiosity operated more strongly in some religions than in others for selected outcomes. Overall, the impact of religiosity on reported drug use did not differ significantly for more and less acculturated Latino youth.","DOI":"10.1037/0002-9432.75.4.585","ISSN":"0002-9432","note":"PMID: 16262516\nPMCID: PMC3043382","journalAbbreviation":"Am J Orthopsychiatry","author":[{"family":"Marsiglia","given":"Flavio Francisco"},{"family":"Kulis","given":"Stephen"},{"family":"Nieri","given":"Tanya"},{"family":"Parsai","given":"Monica"}],"issued":{"date-parts":[["2005",10]]}}}],"schema":"https://github.com/citation-style-language/schema/raw/master/csl-citation.json"} </w:instrText>
      </w:r>
      <w:r w:rsidRPr="003832ED">
        <w:fldChar w:fldCharType="separate"/>
      </w:r>
      <w:r w:rsidRPr="003832ED">
        <w:rPr>
          <w:noProof/>
        </w:rPr>
        <w:t>(Marsiglia, Kulis, Nieri, &amp; Parsai, 2005)</w:t>
      </w:r>
      <w:r w:rsidRPr="003832ED">
        <w:fldChar w:fldCharType="end"/>
      </w:r>
      <w:r w:rsidRPr="003832ED">
        <w:t xml:space="preserve">. How the Adventist faith may influence </w:t>
      </w:r>
      <w:r w:rsidRPr="003832ED">
        <w:rPr>
          <w:color w:val="000000"/>
        </w:rPr>
        <w:t xml:space="preserve">predictors of adolescent alcohol consumption </w:t>
      </w:r>
      <w:r w:rsidRPr="003832ED">
        <w:t>is worth further investigation.</w:t>
      </w:r>
    </w:p>
    <w:p w14:paraId="3B28B702" w14:textId="77777777" w:rsidR="00453A91" w:rsidRPr="003832ED" w:rsidRDefault="00453A91" w:rsidP="00453A91">
      <w:r w:rsidRPr="003832ED">
        <w:t xml:space="preserve">The study supports the TRA’s </w:t>
      </w:r>
      <w:r w:rsidRPr="003832ED">
        <w:fldChar w:fldCharType="begin"/>
      </w:r>
      <w:r w:rsidRPr="003832ED">
        <w:instrText xml:space="preserve"> ADDIN ZOTERO_ITEM CSL_CITATION {"citationID":"vB29Ek2p","properties":{"formattedCitation":"(Ajzen &amp; Fishbein, 1980)","plainCitation":"(Ajzen &amp; Fishbein, 1980)","noteIndex":0},"citationItems":[{"id":2680,"uris":["http://zotero.org/users/1335606/items/WSSDHC4W"],"uri":["http://zotero.org/users/1335606/items/WSSDHC4W"],"itemData":{"id":2680,"type":"book","title":"Understanding Attitudes and Predicting Social Behavior","publisher":"Pearson","publisher-place":"Englewood Cliffs, N.J","number-of-pages":"288","edition":"1 edition","source":"Amazon","event-place":"Englewood Cliffs, N.J","abstract":"Core text in attitude courses. Explains \"theory and reasoned action\" model and then applies the model to various cases.","ISBN":"978-0-13-936435-8","language":"English","author":[{"family":"Ajzen","given":"Icek"},{"family":"Fishbein","given":"Martin"}],"issued":{"date-parts":[["1980",3,17]]}}}],"schema":"https://github.com/citation-style-language/schema/raw/master/csl-citation.json"} </w:instrText>
      </w:r>
      <w:r w:rsidRPr="003832ED">
        <w:fldChar w:fldCharType="separate"/>
      </w:r>
      <w:r w:rsidRPr="003832ED">
        <w:rPr>
          <w:noProof/>
        </w:rPr>
        <w:t>(Ajzen &amp; Fishbein, 1980)</w:t>
      </w:r>
      <w:r w:rsidRPr="003832ED">
        <w:fldChar w:fldCharType="end"/>
      </w:r>
      <w:r w:rsidRPr="003832ED">
        <w:t xml:space="preserve"> ability to enhance understanding of the factors associated with alcohol consumption in adolescents. Intention to consume alcohol had the strongest association with ACS (</w:t>
      </w:r>
      <w:r w:rsidRPr="003832ED">
        <w:rPr>
          <w:color w:val="000000"/>
        </w:rPr>
        <w:t>β</w:t>
      </w:r>
      <w:r w:rsidRPr="003832ED">
        <w:t xml:space="preserve"> = 0.52) which is in line with other TRA and alcohol consumption studies </w:t>
      </w:r>
      <w:r w:rsidRPr="003832ED">
        <w:fldChar w:fldCharType="begin"/>
      </w:r>
      <w:r w:rsidRPr="003832ED">
        <w:instrText xml:space="preserve"> ADDIN ZOTERO_ITEM CSL_CITATION {"citationID":"KdLlKFMI","properties":{"formattedCitation":"(Cooke et al., 2016)","plainCitation":"(Cooke et al., 2016)","noteIndex":0},"citationItems":[{"id":2079,"uris":["http://zotero.org/users/1335606/items/7WJ8T698"],"uri":["http://zotero.org/users/1335606/items/7WJ8T698"],"itemData":{"id":2079,"type":"article-journal","title":"How well does the theory of planned behaviour predict alcohol consumption? A systematic review and meta-analysis","container-title":"Health Psychology Review","page":"148-167","volume":"10","issue":"2","source":"PubMed Central","abstract":"This study aimed to quantify correlations between theory of planned behaviour (TPB) variables and (i) intentions to consume alcohol and (ii) alcohol consumption. Systematic literature searches identified 40 eligible studies that were meta-analysed. Three moderator analyses were conducted: pattern of consumption, gender of participants and age of participants. Across studies, intentions had the strongest relationship with attitudes (r\n+ = .62), followed by subjective norms (r\n+ = .47) and perceived behavioural control (PBC; r\n+ = .31). Self-efficacy (SE) had a stronger relationship with intentions (r\n+ = .48) compared with perceived control (PC; r\n+ = −.10). Intention had the strongest relationship with alcohol consumption (r\n+ = .54), followed by SE (r\n+ = .41). In contrast, PBC and PC had negative relationships with alcohol consumption (r\n+ = −.05 and −.13, respectively). All moderators affected TPB relationships. Patterns of consumption with clear definitions had stronger TPB relations, females reported stronger attitude–intention relations than males, and adults reported stronger attitude–intention and SE–intention relations than adolescents. Recommendations for future research include targeting attitudes and intentions in interventions to reduce alcohol consumption, using clear definitions of alcohol consumption in TPB items to improve prediction and assessing SE when investigating risk behaviours.","DOI":"10.1080/17437199.2014.947547","ISSN":"1743-7199","note":"PMID: 25089611\nPMCID: PMC4867851","title-short":"How well does the theory of planned behaviour predict alcohol consumption?","journalAbbreviation":"Health Psychol Rev","author":[{"family":"Cooke","given":"Richard"},{"family":"Dahdah","given":"Mary"},{"family":"Norman","given":"Paul"},{"family":"French","given":"David P."}],"issued":{"date-parts":[["2016",4,2]]}}}],"schema":"https://github.com/citation-style-language/schema/raw/master/csl-citation.json"} </w:instrText>
      </w:r>
      <w:r w:rsidRPr="003832ED">
        <w:fldChar w:fldCharType="separate"/>
      </w:r>
      <w:r w:rsidRPr="003832ED">
        <w:rPr>
          <w:noProof/>
        </w:rPr>
        <w:t>(Cooke et al., 2016)</w:t>
      </w:r>
      <w:r w:rsidRPr="003832ED">
        <w:fldChar w:fldCharType="end"/>
      </w:r>
      <w:r w:rsidRPr="003832ED">
        <w:t>. Interestingly, the attitudinal variable “It is ok to drink alcohol at my age” (</w:t>
      </w:r>
      <w:r w:rsidRPr="003832ED">
        <w:rPr>
          <w:color w:val="000000"/>
        </w:rPr>
        <w:t>β</w:t>
      </w:r>
      <w:r w:rsidRPr="003832ED">
        <w:t xml:space="preserve"> = 0.13) and the social norm variable “Some of my close friends drank alcohol in the last month” </w:t>
      </w:r>
      <w:r w:rsidRPr="003832ED">
        <w:rPr>
          <w:color w:val="000000"/>
        </w:rPr>
        <w:t>β</w:t>
      </w:r>
      <w:r w:rsidRPr="003832ED">
        <w:t xml:space="preserve"> = 0.07) was not only associated with intentions to consume alcohol as theorized in the TRA but was also directly associated with ACS (Figure 2).</w:t>
      </w:r>
    </w:p>
    <w:p w14:paraId="240193EE" w14:textId="77777777" w:rsidR="00453A91" w:rsidRPr="003832ED" w:rsidRDefault="00453A91" w:rsidP="00453A91">
      <w:r w:rsidRPr="003832ED">
        <w:t xml:space="preserve">Examination of the relative importance of the attitudinal and subject norm variables revealed that the combined direct and indirect association of the attitudinal variables </w:t>
      </w:r>
      <w:r w:rsidRPr="003832ED">
        <w:rPr>
          <w:rFonts w:eastAsia="MS Gothic"/>
        </w:rPr>
        <w:t>(“</w:t>
      </w:r>
      <w:r w:rsidRPr="003832ED">
        <w:t>It is ok to drink alcohol at my age”, and “alcohol is harmful to my relationships”, β</w:t>
      </w:r>
      <w:r w:rsidRPr="003832ED">
        <w:rPr>
          <w:vertAlign w:val="subscript"/>
        </w:rPr>
        <w:t>total</w:t>
      </w:r>
      <w:r w:rsidRPr="003832ED">
        <w:t xml:space="preserve"> = 0.36) were more predictive of ACS than the subjective norm variable (“</w:t>
      </w:r>
      <w:r w:rsidRPr="003832ED">
        <w:rPr>
          <w:rFonts w:eastAsia="MS Gothic"/>
        </w:rPr>
        <w:t xml:space="preserve">In the past month would any of your close friends have used alcohol?”, </w:t>
      </w:r>
      <w:r w:rsidRPr="003832ED">
        <w:t>β</w:t>
      </w:r>
      <w:r w:rsidRPr="003832ED">
        <w:rPr>
          <w:vertAlign w:val="subscript"/>
        </w:rPr>
        <w:t>total</w:t>
      </w:r>
      <w:r w:rsidRPr="003832ED">
        <w:t xml:space="preserve"> = 0.17</w:t>
      </w:r>
      <w:r w:rsidRPr="003832ED">
        <w:rPr>
          <w:rFonts w:eastAsia="MS Gothic"/>
        </w:rPr>
        <w:t xml:space="preserve">). </w:t>
      </w:r>
      <w:r w:rsidRPr="003832ED">
        <w:t xml:space="preserve">This may be expected considering two subjective norm items were removed from the model during analysis. This result is in line with other studies </w:t>
      </w:r>
      <w:r w:rsidRPr="003832ED">
        <w:fldChar w:fldCharType="begin"/>
      </w:r>
      <w:r w:rsidRPr="003832ED">
        <w:instrText xml:space="preserve"> ADDIN ZOTERO_ITEM CSL_CITATION {"citationID":"OhQ1x6hO","properties":{"formattedCitation":"(Cooke et al., 2016)","plainCitation":"(Cooke et al., 2016)","noteIndex":0},"citationItems":[{"id":2079,"uris":["http://zotero.org/users/1335606/items/7WJ8T698"],"uri":["http://zotero.org/users/1335606/items/7WJ8T698"],"itemData":{"id":2079,"type":"article-journal","title":"How well does the theory of planned behaviour predict alcohol consumption? A systematic review and meta-analysis","container-title":"Health Psychology Review","page":"148-167","volume":"10","issue":"2","source":"PubMed Central","abstract":"This study aimed to quantify correlations between theory of planned behaviour (TPB) variables and (i) intentions to consume alcohol and (ii) alcohol consumption. Systematic literature searches identified 40 eligible studies that were meta-analysed. Three moderator analyses were conducted: pattern of consumption, gender of participants and age of participants. Across studies, intentions had the strongest relationship with attitudes (r\n+ = .62), followed by subjective norms (r\n+ = .47) and perceived behavioural control (PBC; r\n+ = .31). Self-efficacy (SE) had a stronger relationship with intentions (r\n+ = .48) compared with perceived control (PC; r\n+ = −.10). Intention had the strongest relationship with alcohol consumption (r\n+ = .54), followed by SE (r\n+ = .41). In contrast, PBC and PC had negative relationships with alcohol consumption (r\n+ = −.05 and −.13, respectively). All moderators affected TPB relationships. Patterns of consumption with clear definitions had stronger TPB relations, females reported stronger attitude–intention relations than males, and adults reported stronger attitude–intention and SE–intention relations than adolescents. Recommendations for future research include targeting attitudes and intentions in interventions to reduce alcohol consumption, using clear definitions of alcohol consumption in TPB items to improve prediction and assessing SE when investigating risk behaviours.","DOI":"10.1080/17437199.2014.947547","ISSN":"1743-7199","note":"PMID: 25089611\nPMCID: PMC4867851","title-short":"How well does the theory of planned behaviour predict alcohol consumption?","journalAbbreviation":"Health Psychol Rev","author":[{"family":"Cooke","given":"Richard"},{"family":"Dahdah","given":"Mary"},{"family":"Norman","given":"Paul"},{"family":"French","given":"David P."}],"issued":{"date-parts":[["2016",4,2]]}}}],"schema":"https://github.com/citation-style-language/schema/raw/master/csl-citation.json"} </w:instrText>
      </w:r>
      <w:r w:rsidRPr="003832ED">
        <w:fldChar w:fldCharType="separate"/>
      </w:r>
      <w:r w:rsidRPr="003832ED">
        <w:rPr>
          <w:noProof/>
        </w:rPr>
        <w:t>(Cooke et al., 2016)</w:t>
      </w:r>
      <w:r w:rsidRPr="003832ED">
        <w:fldChar w:fldCharType="end"/>
      </w:r>
      <w:r w:rsidRPr="003832ED">
        <w:t xml:space="preserve"> in adult cohorts, however, TRA and alcohol research </w:t>
      </w:r>
      <w:r w:rsidRPr="003832ED">
        <w:fldChar w:fldCharType="begin"/>
      </w:r>
      <w:r w:rsidRPr="003832ED">
        <w:instrText xml:space="preserve"> ADDIN ZOTERO_ITEM CSL_CITATION {"citationID":"J2TgsB7f","properties":{"formattedCitation":"(Marcoux &amp; Shope, 1997; Stoddard &amp; Pierce, 2018)","plainCitation":"(Marcoux &amp; Shope, 1997; Stoddard &amp; Pierce, 2018)","noteIndex":0},"citationItems":[{"id":2223,"uris":["http://zotero.org/users/1335606/items/E5RBHERK"],"uri":["http://zotero.org/users/1335606/items/E5RBHERK"],"itemData":{"id":2223,"type":"article-journal","title":"Application of the Theory of Planned Behavior to adolescent use and misuse of alcohol","container-title":"Health Educ. Res.","volume":"12","source":"ResearchGate","abstract":"This research assessed the plausibility and robustness of Ajzen's Theory of Planned Behavior (TPB) in predicting and explaining use, frequency of use and misuse of alcohol among 3946 fifth through eighth grade students in southeastern Michigan. The study also compared the effectiveness of the TPB and the Theory of Reasoned Action (TRA) in predicting intention to use alcohol. Data for this secondary analysis were part of a longitudinal study, and were collected in March and May of 1987. Results provided strong support for the use of the TPB in this context and suggest that the model is fairly robust. All model components reached significance at the 0.05 level. Intention to use alcohol explained up to 26% of the variance in use, 38% of the variance in frequency of use and 30% of the variance in misuse of alcohol. In addition, up to 76% of the variance in intention to use alcohol was explained by attitudes, subjective norms and perceived behavioral control. Although both models were effective in predicting intention to use alcohol, as expected, the TPB was more effective in predicting intention to use alcohol than was the TRA.","DOI":"10.1093/her/12.3.323","author":[{"family":"Marcoux","given":"Beth"},{"family":"Shope","given":"Jean"}],"issued":{"date-parts":[["1997",9,1]]}},"label":"page"},{"id":2682,"uris":["http://zotero.org/users/1335606/items/GATZINNH"],"uri":["http://zotero.org/users/1335606/items/GATZINNH"],"itemData":{"id":2682,"type":"article-journal","title":"Alcohol and Marijuana Use and Intentions Among Adolescents: The Role of the Reasoned Action Approach and Positive Future Orientation","container-title":"Youth &amp; Society","page":"758-779","volume":"50","issue":"6","source":"SAGE Journals","abstract":"Perceptions of alcohol and other drug (AOD) use are associated with adolescent substance use behavior, yet research on the role of contextual factors and positive assets in this relationship is scant. This study examined the relationship between school environment and peer influence and past 30-day alcohol and marijuana use via positive future orientation and AOD perceptions in a high school sample (n = 392; 49% male; 73% White). A positive peer influence and a positive school environment were associated with lower alcohol and marijuana use via future orientation, reasoned action approach (RAA) constructs (i.e., injunctive norms, AOD expectancies, and perceived control over AOD use), and intentions to avoid AOD use. The findings provide support for the role of a positive future orientation in the prevention of AOD use among youth and point to differential paths of influence for contextual factors.","DOI":"10.1177/0044118X16671610","ISSN":"0044-118X","title-short":"Alcohol and Marijuana Use and Intentions Among Adolescents","journalAbbreviation":"Youth &amp; Society","language":"en","author":[{"family":"Stoddard","given":"Sarah A."},{"family":"Pierce","given":"Jennifer"}],"issued":{"date-parts":[["2018",9,1]]}},"label":"page"}],"schema":"https://github.com/citation-style-language/schema/raw/master/csl-citation.json"} </w:instrText>
      </w:r>
      <w:r w:rsidRPr="003832ED">
        <w:fldChar w:fldCharType="separate"/>
      </w:r>
      <w:r w:rsidRPr="003832ED">
        <w:rPr>
          <w:noProof/>
        </w:rPr>
        <w:t>(Marcoux &amp; Shope, 1997; Stoddard &amp; Pierce, 2018)</w:t>
      </w:r>
      <w:r w:rsidRPr="003832ED">
        <w:fldChar w:fldCharType="end"/>
      </w:r>
      <w:r w:rsidRPr="003832ED">
        <w:t xml:space="preserve"> in adolescent groups have found that subjective norms were more predictive of adolescent alcohol consumption than attitudes. </w:t>
      </w:r>
      <w:r w:rsidRPr="003832ED">
        <w:lastRenderedPageBreak/>
        <w:t xml:space="preserve">Wide spread agreement in the literature </w:t>
      </w:r>
      <w:r w:rsidRPr="003832ED">
        <w:fldChar w:fldCharType="begin"/>
      </w:r>
      <w:r w:rsidRPr="003832ED">
        <w:instrText xml:space="preserve"> ADDIN ZOTERO_ITEM CSL_CITATION {"citationID":"7jTA9pfr","properties":{"formattedCitation":"(J. E. Donovan, 2004; Janssen, Mathijssen, van Bon-Martens, van Oers, &amp; Garretsen, 2014; Kuntsche et al., 2015; Ryan, Jorm, &amp; Lubman, 2010)","plainCitation":"(J. E. Donovan, 2004; Janssen, Mathijssen, van Bon-Martens, van Oers, &amp; Garretsen, 2014; Kuntsche et al., 2015; Ryan, Jorm, &amp; Lubman, 2010)","dontUpdate":true,"noteIndex":0},"citationItems":[{"id":867,"uris":["http://zotero.org/users/1335606/items/5V3GBZXH"],"uri":["http://zotero.org/users/1335606/items/5V3GBZXH"],"itemData":{"id":867,"type":"article-journal","title":"Adolescent alcohol initiation: a review of psychosocial risk factors","container-title":"The Journal of Adolescent Health: Official Publication of the Society for Adolescent Medicine","page":"529.e7-18","volume":"35","issue":"6","source":"NCBI PubMed","abstract":"Longitudinal research studies focused on alcohol use initiation in adolescence were reviewed to determine which variables function as antecedent predictors or risk factors. Only studies that focused on time-1 abstainers were included. Classes of risk factors examined include sociodemographic, family, peer, personality, and behavioral variables. The most consistent antecedent risk factors for starting to drink in adolescence were parental and peer approval and models for drinking and drug use as well as adolescents' own prior involvement in delinquent behavior. There was little evidence for gender differences in risk factors for alcohol use initiation. Secondary analyses of existing longitudinal data sets are encouraged to examine whether there are ethnic/racial differences in the risk factors for starting to drink and to establish those factors that serve a protective or buffering function, delaying onset of alcohol use in adolescence.","DOI":"10.1016/j.jadohealth.2004.02.003","ISSN":"1879-1972","note":"PMID: 15581536","title-short":"Adolescent alcohol initiation","journalAbbreviation":"J Adolesc Health","language":"eng","author":[{"family":"Donovan","given":"John E."}],"issued":{"date-parts":[["2004",12]]}},"label":"page"},{"id":2331,"uris":["http://zotero.org/users/1335606/items/VTIA8AAH"],"uri":["http://zotero.org/users/1335606/items/VTIA8AAH"],"itemData":{"id":2331,"type":"article-journal","title":"A qualitative exploration of attitudes towards alcohol, and the role of parents and peers of two alcohol-attitude-based segments of the adolescent population","container-title":"Substance Abuse Treatment, Prevention, and Policy","page":"20","volume":"9","source":"BioMed Central","abstract":"An earlier study using social marketing and audience segmentation distinguished five segments of Dutch adolescents aged 12–18 years based on their attitudes towards alcohol. The present, qualitative study focuses on two of these five segments (‘ordinaries’ and ‘ordinary sobers’) and explores the attitudes of these two segments towards alcohol, and the role of parents and peers in their alcohol use in more detail.","DOI":"10.1186/1747-597X-9-20","ISSN":"1747-597X","journalAbbreviation":"Substance Abuse Treatment, Prevention, and Policy","author":[{"family":"Janssen","given":"Meriam M."},{"family":"Mathijssen","given":"Jolanda JP"},{"family":"Bon-Martens","given":"Marja JH","non-dropping-particle":"van"},{"family":"Oers","given":"Hans AM","non-dropping-particle":"van"},{"family":"Garretsen","given":"Henk FL"}],"issued":{"date-parts":[["2014",5,24]]}},"label":"page"},{"id":2348,"uris":["http://zotero.org/users/1335606/items/WSGJPU4G"],"uri":["http://zotero.org/users/1335606/items/WSGJPU4G"],"itemData":{"id":2348,"type":"article-journal","title":"Drinking Motives Mediate Cultural Differences but Not Gender Differences in Adolescent Alcohol Use","container-title":"Journal of Adolescent Health","page":"323-329","volume":"56","issue":"3","source":"www.jahonline.org","abstract":"Purpose\nTo test whether differences in alcohol use between boys and girls and between northern and southern/central Europe are mediated by social, enhancement, coping, and conformity motives.\nMethods\nCross-sectional school-based surveys were conducted among 33,813 alcohol-using 11- to 19-year-olds from northern Europe (Denmark, Estonia, Finland, Ireland, Poland, Scotland, and Wales) and southern/central Europe (Belgium, Hungary, Italy, Portugal, Slovakia, and Switzerland).\nResults\nParticularly in late adolescence and early adulthood, boys drank more frequently and were more often drunk than girls. Instead of mediation, gender-specific motive paths were found; 14- to 16-year-old girls drank more because of higher levels of coping motives and lower levels of conformity motives, whereas 14- to 19-year-old boys drank more because of higher levels of social and enhancement motives. Geographical analyses confirmed that adolescents from southern/central European countries drank more frequently, but those from northern Europe reported being drunk more often. The strong indirect effects demonstrate that some of the cultural differences in drinking are because of higher levels of social, enhancement, and coping motives in northern than in southern/central Europe.\nConclusions\nThe results from the largest drinking motive study conducted to date suggest that gender-specific prevention should take differences in the motivational pathways toward (heavy) drinking into account, that is, positive reinforcement seems to be more important for boys and negative reinforcement for girls. Preventive action targeting social and enhancement motives and taking drinking circumstances into account could contribute to tackling underage drinking in northern Europe.","DOI":"10.1016/j.jadohealth.2014.10.267","ISSN":"1054-139X, 1879-1972","note":"PMID: 25586227","journalAbbreviation":"Journal of Adolescent Health","language":"English","author":[{"family":"Kuntsche","given":"Emmanuel"},{"family":"Wicki","given":"Matthias"},{"family":"Windlin","given":"Béat"},{"family":"Roberts","given":"Chris"},{"family":"Gabhainn","given":"Saoirse Nic"},{"family":"Sluijs","given":"Winfried","dropping-particle":"van der"},{"family":"Aasvee","given":"Katrin"},{"family":"Matos","given":"Margarida Gaspar","dropping-particle":"de"},{"family":"Dankulincová","given":"Zuzana"},{"family":"Hublet","given":"Anne"},{"family":"Tynjälä","given":"Jorma"},{"family":"Välimaa","given":"Raili"},{"family":"Bendtsen","given":"Pernille"},{"family":"Vieno","given":"Alessio"},{"family":"Mazur","given":"Joanna"},{"family":"Farkas","given":"Judith"},{"family":"Demetrovics","given":"Zsolt"}],"issued":{"date-parts":[["2015",3,1]]}},"label":"page"},{"id":2033,"uris":["http://zotero.org/users/1335606/items/3WIT384S"],"uri":["http://zotero.org/users/1335606/items/3WIT384S"],"itemData":{"id":2033,"type":"article-journal","title":"Parenting Factors Associated with Reduced Adolescent Alcohol Use: A Systematic Review of Longitudinal Studies","container-title":"Australian &amp; New Zealand Journal of Psychiatry","page":"774-783","volume":"44","issue":"9","source":"CrossRef","abstract":"Objective: To identify parenting strategies associated with adolescent alcohol consumption that parents can use to implement new national guidelines regarding alcohol consumption by people under the age of 18. Methods: A systematic search of academic literature employing the PRISMA method identified 77 relevant articles. Inclusion criteria for the review were (i) longitudinal cohort studies; (ii) measurement of one or more parenting factors during adolescence or pre-adolescence (between the ages of 8 and 17) as a predictor (iii) outcome measurement of any alcohol use and/or alcohol related problems during adolescence at least one time point after the initial parenting factor was measured, and/or problem drinking in adulthood. Studies were excluded if alcohol use was combined with other substance use or problem behaviour as an outcome variable, or if different parenting factors were combined as a single predictor variable for analysis. Stouffer's method of combining p values was used to determine whether associations between variables were reliable. Results: Twelve parenting variables were investigated in these studies: parental modelling, provision of alcohol, alcohol-specific communication, disapproval of adolescent drinking, general discipline, rules about alcohol, parental monitoring, parent–child relationship quality, family conflict, parental support, parental involvement, and general communication. We found that delayed alcohol initiation was predicted by: parental modelling, limiting availability of alcohol to the child, parental monitoring, parent–child relationship quality, parental involvement and general communication. Reduced levels of later drinking by adolescents were predicted by: parental modelling, limiting availability of alcohol to the child, disapproval of adolescent drinking, general discipline, parental monitoring, parent–child relationship quality, parental support and general communication. Conclusions: A number of parenting strategies were identified that parents can use to reduce their adolescent's alcohol consumption. These could be promoted to parents to help them implement new national guidelines on alcohol use.","DOI":"10.1080/00048674.2010.501759","ISSN":"0004-8674, 1440-1614","title-short":"Parenting Factors Associated with Reduced Adolescent Alcohol Use","language":"en","author":[{"family":"Ryan","given":"Siobhan M."},{"family":"Jorm","given":"Anthony F."},{"family":"Lubman","given":"Dan I."}],"issued":{"date-parts":[["2010",9]]}},"label":"page"}],"schema":"https://github.com/citation-style-language/schema/raw/master/csl-citation.json"} </w:instrText>
      </w:r>
      <w:r w:rsidRPr="003832ED">
        <w:fldChar w:fldCharType="separate"/>
      </w:r>
      <w:r w:rsidRPr="003832ED">
        <w:t>(Donovan, 2004; Janssen, Mathijssen, van Bon-Martens, van Oers, &amp; Garretsen, 2014; Kuntsche et al., 2015; Ryan, Jorm, &amp; Lubman, 2010)</w:t>
      </w:r>
      <w:r w:rsidRPr="003832ED">
        <w:fldChar w:fldCharType="end"/>
      </w:r>
      <w:r w:rsidRPr="003832ED">
        <w:t xml:space="preserve"> recognizes the powerful influence of social pressures on adolescent drinking behaviours. The lack of importance of subjective norms in the model in this study may be related to overall low prevalence of drinking in this cohort, and in turn, faith. Further study could explore this as a faith-based phenomenon. Minimal research has targeted attitudinal constructs in adolescent cohorts, and this study would suggest that this is worth further investigation.</w:t>
      </w:r>
    </w:p>
    <w:p w14:paraId="6B94E0E2" w14:textId="77777777" w:rsidR="00453A91" w:rsidRPr="003832ED" w:rsidRDefault="00453A91" w:rsidP="00453A91">
      <w:r w:rsidRPr="003832ED">
        <w:t xml:space="preserve">The non-significant association of the attitudinal variable “Alcohol is harmful to my health” with intention to consume alcohol or ACS was surprising. This adolescent cohort was exposed to a faith-based culture with a long history of emphasizing health and lifestyle education as well as general compliance to the prohibition of alcohol consumption </w:t>
      </w:r>
      <w:r w:rsidRPr="003832ED">
        <w:fldChar w:fldCharType="begin"/>
      </w:r>
      <w:r w:rsidRPr="003832ED">
        <w:instrText xml:space="preserve"> ADDIN ZOTERO_ITEM CSL_CITATION {"citationID":"isnzJm4n","properties":{"formattedCitation":"(Craig et al., 2017)","plainCitation":"(Craig et al., 2017)","noteIndex":0},"citationItems":[{"id":1962,"uris":["http://zotero.org/users/1335606/items/W4K82SE6"],"uri":["http://zotero.org/users/1335606/items/W4K82SE6"],"itemData":{"id":1962,"type":"article-journal","title":"The Body Mass Index of Adolescents Attending Seventh-Day Adventist Schools in Australia: 2001-2012","container-title":"The Journal of School Health","page":"630-637","volume":"87","issue":"8","source":"PubMed","abstract":"BACKGROUND: We examined the body mass index (BMI) of students attending Seventh-day Adventist (Adventist) schools in Australia in 2001 and 2012.\nMETHODS: A total of 3069 students attending Adventist schools in Australia responded to a health and lifestyle survey in 2001 (N = 1335) and 2012 (N = 1734). The survey captured self-reported height and weight, demographics (age, sex, year level, religion), and select health behaviors.\nRESULTS: Compared with national norms, lower rates of overweight and obesity were observed in the study cohort, but higher rates of underweight. There was no change in the mean BMI of the students attending Adventist schools in Australia from 2001 to 2012. Regression analyses indicated that a lower BMI was associated with age, sex, more regularly eating breakfast, consuming less soft drink, and having a regular exercise program. The students reported a high consumption of fruits, vegetables, and whole grains compared with Australian national norms, and 29% claimed to be vegetarian.\nCONCLUSIONS: Students attending Adventist schools appear to have a lower prevalence of overweight and obesity than the secular population, but a higher prevalence of underweight. The mechanisms through which Adventist schools may influence student's BMI warrants further investigation.","DOI":"10.1111/josh.12535","ISSN":"1746-1561","note":"PMID: 28691170","title-short":"The Body Mass Index of Adolescents Attending Seventh-Day Adventist Schools in Australia","journalAbbreviation":"J Sch Health","language":"eng","author":[{"family":"Craig","given":"Bevan"},{"family":"Morton","given":"Darren"},{"family":"Kent","given":"Lillian"},{"family":"Butler","given":"Terry"},{"family":"Rankin","given":"Paul"},{"family":"Price","given":"Kevin"}],"issued":{"date-parts":[["2017",8]]}}}],"schema":"https://github.com/citation-style-language/schema/raw/master/csl-citation.json"} </w:instrText>
      </w:r>
      <w:r w:rsidRPr="003832ED">
        <w:fldChar w:fldCharType="separate"/>
      </w:r>
      <w:r w:rsidRPr="003832ED">
        <w:rPr>
          <w:noProof/>
        </w:rPr>
        <w:t>(Craig et al., 2017)</w:t>
      </w:r>
      <w:r w:rsidRPr="003832ED">
        <w:fldChar w:fldCharType="end"/>
      </w:r>
      <w:r w:rsidRPr="003832ED">
        <w:t xml:space="preserve">. The majority of adolescents in a study by Harvey &amp; McKay </w:t>
      </w:r>
      <w:r w:rsidRPr="003832ED">
        <w:fldChar w:fldCharType="begin"/>
      </w:r>
      <w:r w:rsidRPr="003832ED">
        <w:instrText xml:space="preserve"> ADDIN ZOTERO_ITEM CSL_CITATION {"citationID":"mag5H8i3","properties":{"formattedCitation":"(Harvey &amp; McKay, 2017)","plainCitation":"(Harvey &amp; McKay, 2017)","dontUpdate":true,"noteIndex":0},"citationItems":[{"id":2346,"uris":["http://zotero.org/users/1335606/items/H3P8EHBE"],"uri":["http://zotero.org/users/1335606/items/H3P8EHBE"],"itemData":{"id":2346,"type":"article-journal","title":"Perspectives on adolescent alcohol use and consideration of future consequences: results from a qualitative study","container-title":"Child Care in Practice","page":"104-120","volume":"23","issue":"1","source":"Taylor and Francis+NEJM","abstract":"Consideration of future consequences (CFC) is described as the attention that individuals pay to the potential outcomes of their behaviour, and how their behaviour is affected as a result of attention to these outcomes. Greater CFC has been associated with less alcohol use, thus indicating its potential utility in health-promotion initiatives. A focus group methodology was employed with 13–14 year olds (N = 129) in 16 high schools in Northern Ireland and Scotland to attain their thoughts on how adolescents in general consider the future consequences of alcohol consumption; and to provide some clarity on the nature of CFC and whether it is singular or dichotomous in nature (i.e. do individuals distinguish between immediate and long-term consequences and are they influenced by these in different ways). The participants indicated that the majority of adolescents do not consider the consequences of alcohol consumption at all; while to a lesser extent, some adolescents consider the consequences but ignore them. If adolescents do refrain from alcohol, immediate consequences are more influential in their decision-making than long-term consequences. These findings should help to inform and guide the development and delivery of health-promotion initiatives, and provide some clarity about the nature of CFC and the manner in which the construct should be examined or utilised during future research.","DOI":"10.1080/13575279.2015.1126230","ISSN":"1357-5279","title-short":"Perspectives on adolescent alcohol use and consideration of future consequences","author":[{"family":"Harvey","given":"Séamus A."},{"family":"McKay","given":"Michael T."}],"issued":{"date-parts":[["2017",1,2]]}}}],"schema":"https://github.com/citation-style-language/schema/raw/master/csl-citation.json"} </w:instrText>
      </w:r>
      <w:r w:rsidRPr="003832ED">
        <w:fldChar w:fldCharType="separate"/>
      </w:r>
      <w:r w:rsidRPr="003832ED">
        <w:rPr>
          <w:noProof/>
        </w:rPr>
        <w:t>(2017)</w:t>
      </w:r>
      <w:r w:rsidRPr="003832ED">
        <w:fldChar w:fldCharType="end"/>
      </w:r>
      <w:r w:rsidRPr="003832ED">
        <w:t xml:space="preserve"> did not consider the health consequences of alcohol consumption in their decision making to consume alcohol. While health education is important in any age group, the literature suggests that attitudes towards health in adolescent populations may not be firmly established until later adolescence </w:t>
      </w:r>
      <w:r w:rsidRPr="003832ED">
        <w:fldChar w:fldCharType="begin"/>
      </w:r>
      <w:r w:rsidRPr="003832ED">
        <w:instrText xml:space="preserve"> ADDIN ZOTERO_ITEM CSL_CITATION {"citationID":"dQ21lA5K","properties":{"formattedCitation":"(Marcoux &amp; Shope, 1997)","plainCitation":"(Marcoux &amp; Shope, 1997)","noteIndex":0},"citationItems":[{"id":2223,"uris":["http://zotero.org/users/1335606/items/E5RBHERK"],"uri":["http://zotero.org/users/1335606/items/E5RBHERK"],"itemData":{"id":2223,"type":"article-journal","title":"Application of the Theory of Planned Behavior to adolescent use and misuse of alcohol","container-title":"Health Educ. Res.","volume":"12","source":"ResearchGate","abstract":"This research assessed the plausibility and robustness of Ajzen's Theory of Planned Behavior (TPB) in predicting and explaining use, frequency of use and misuse of alcohol among 3946 fifth through eighth grade students in southeastern Michigan. The study also compared the effectiveness of the TPB and the Theory of Reasoned Action (TRA) in predicting intention to use alcohol. Data for this secondary analysis were part of a longitudinal study, and were collected in March and May of 1987. Results provided strong support for the use of the TPB in this context and suggest that the model is fairly robust. All model components reached significance at the 0.05 level. Intention to use alcohol explained up to 26% of the variance in use, 38% of the variance in frequency of use and 30% of the variance in misuse of alcohol. In addition, up to 76% of the variance in intention to use alcohol was explained by attitudes, subjective norms and perceived behavioral control. Although both models were effective in predicting intention to use alcohol, as expected, the TPB was more effective in predicting intention to use alcohol than was the TRA.","DOI":"10.1093/her/12.3.323","author":[{"family":"Marcoux","given":"Beth"},{"family":"Shope","given":"Jean"}],"issued":{"date-parts":[["1997",9,1]]}}}],"schema":"https://github.com/citation-style-language/schema/raw/master/csl-citation.json"} </w:instrText>
      </w:r>
      <w:r w:rsidRPr="003832ED">
        <w:fldChar w:fldCharType="separate"/>
      </w:r>
      <w:r w:rsidRPr="003832ED">
        <w:rPr>
          <w:noProof/>
        </w:rPr>
        <w:t>(Marcoux &amp; Shope, 1997)</w:t>
      </w:r>
      <w:r w:rsidRPr="003832ED">
        <w:fldChar w:fldCharType="end"/>
      </w:r>
      <w:r w:rsidRPr="003832ED">
        <w:t xml:space="preserve">. </w:t>
      </w:r>
    </w:p>
    <w:p w14:paraId="49842C9F" w14:textId="77777777" w:rsidR="00453A91" w:rsidRPr="003832ED" w:rsidRDefault="00453A91" w:rsidP="00453A91">
      <w:r w:rsidRPr="003832ED">
        <w:t xml:space="preserve">Many studies have highlighted the influence of peer and family pressure on adolescent drinking behaviours </w:t>
      </w:r>
      <w:r w:rsidRPr="003832ED">
        <w:fldChar w:fldCharType="begin"/>
      </w:r>
      <w:r w:rsidRPr="003832ED">
        <w:instrText xml:space="preserve"> ADDIN ZOTERO_ITEM CSL_CITATION {"citationID":"GzT4zmeP","properties":{"formattedCitation":"(J. E. Donovan, 2004; Janssen et al., 2014; Kuntsche et al., 2015; Ryan et al., 2010)","plainCitation":"(J. E. Donovan, 2004; Janssen et al., 2014; Kuntsche et al., 2015; Ryan et al., 2010)","dontUpdate":true,"noteIndex":0},"citationItems":[{"id":867,"uris":["http://zotero.org/users/1335606/items/5V3GBZXH"],"uri":["http://zotero.org/users/1335606/items/5V3GBZXH"],"itemData":{"id":867,"type":"article-journal","title":"Adolescent alcohol initiation: a review of psychosocial risk factors","container-title":"The Journal of Adolescent Health: Official Publication of the Society for Adolescent Medicine","page":"529.e7-18","volume":"35","issue":"6","source":"NCBI PubMed","abstract":"Longitudinal research studies focused on alcohol use initiation in adolescence were reviewed to determine which variables function as antecedent predictors or risk factors. Only studies that focused on time-1 abstainers were included. Classes of risk factors examined include sociodemographic, family, peer, personality, and behavioral variables. The most consistent antecedent risk factors for starting to drink in adolescence were parental and peer approval and models for drinking and drug use as well as adolescents' own prior involvement in delinquent behavior. There was little evidence for gender differences in risk factors for alcohol use initiation. Secondary analyses of existing longitudinal data sets are encouraged to examine whether there are ethnic/racial differences in the risk factors for starting to drink and to establish those factors that serve a protective or buffering function, delaying onset of alcohol use in adolescence.","DOI":"10.1016/j.jadohealth.2004.02.003","ISSN":"1879-1972","note":"PMID: 15581536","title-short":"Adolescent alcohol initiation","journalAbbreviation":"J Adolesc Health","language":"eng","author":[{"family":"Donovan","given":"John E."}],"issued":{"date-parts":[["2004",12]]}},"label":"page"},{"id":2331,"uris":["http://zotero.org/users/1335606/items/VTIA8AAH"],"uri":["http://zotero.org/users/1335606/items/VTIA8AAH"],"itemData":{"id":2331,"type":"article-journal","title":"A qualitative exploration of attitudes towards alcohol, and the role of parents and peers of two alcohol-attitude-based segments of the adolescent population","container-title":"Substance Abuse Treatment, Prevention, and Policy","page":"20","volume":"9","source":"BioMed Central","abstract":"An earlier study using social marketing and audience segmentation distinguished five segments of Dutch adolescents aged 12–18 years based on their attitudes towards alcohol. The present, qualitative study focuses on two of these five segments (‘ordinaries’ and ‘ordinary sobers’) and explores the attitudes of these two segments towards alcohol, and the role of parents and peers in their alcohol use in more detail.","DOI":"10.1186/1747-597X-9-20","ISSN":"1747-597X","journalAbbreviation":"Substance Abuse Treatment, Prevention, and Policy","author":[{"family":"Janssen","given":"Meriam M."},{"family":"Mathijssen","given":"Jolanda JP"},{"family":"Bon-Martens","given":"Marja JH","non-dropping-particle":"van"},{"family":"Oers","given":"Hans AM","non-dropping-particle":"van"},{"family":"Garretsen","given":"Henk FL"}],"issued":{"date-parts":[["2014",5,24]]}},"label":"page"},{"id":2348,"uris":["http://zotero.org/users/1335606/items/WSGJPU4G"],"uri":["http://zotero.org/users/1335606/items/WSGJPU4G"],"itemData":{"id":2348,"type":"article-journal","title":"Drinking Motives Mediate Cultural Differences but Not Gender Differences in Adolescent Alcohol Use","container-title":"Journal of Adolescent Health","page":"323-329","volume":"56","issue":"3","source":"www.jahonline.org","abstract":"Purpose\nTo test whether differences in alcohol use between boys and girls and between northern and southern/central Europe are mediated by social, enhancement, coping, and conformity motives.\nMethods\nCross-sectional school-based surveys were conducted among 33,813 alcohol-using 11- to 19-year-olds from northern Europe (Denmark, Estonia, Finland, Ireland, Poland, Scotland, and Wales) and southern/central Europe (Belgium, Hungary, Italy, Portugal, Slovakia, and Switzerland).\nResults\nParticularly in late adolescence and early adulthood, boys drank more frequently and were more often drunk than girls. Instead of mediation, gender-specific motive paths were found; 14- to 16-year-old girls drank more because of higher levels of coping motives and lower levels of conformity motives, whereas 14- to 19-year-old boys drank more because of higher levels of social and enhancement motives. Geographical analyses confirmed that adolescents from southern/central European countries drank more frequently, but those from northern Europe reported being drunk more often. The strong indirect effects demonstrate that some of the cultural differences in drinking are because of higher levels of social, enhancement, and coping motives in northern than in southern/central Europe.\nConclusions\nThe results from the largest drinking motive study conducted to date suggest that gender-specific prevention should take differences in the motivational pathways toward (heavy) drinking into account, that is, positive reinforcement seems to be more important for boys and negative reinforcement for girls. Preventive action targeting social and enhancement motives and taking drinking circumstances into account could contribute to tackling underage drinking in northern Europe.","DOI":"10.1016/j.jadohealth.2014.10.267","ISSN":"1054-139X, 1879-1972","note":"PMID: 25586227","journalAbbreviation":"Journal of Adolescent Health","language":"English","author":[{"family":"Kuntsche","given":"Emmanuel"},{"family":"Wicki","given":"Matthias"},{"family":"Windlin","given":"Béat"},{"family":"Roberts","given":"Chris"},{"family":"Gabhainn","given":"Saoirse Nic"},{"family":"Sluijs","given":"Winfried","dropping-particle":"van der"},{"family":"Aasvee","given":"Katrin"},{"family":"Matos","given":"Margarida Gaspar","dropping-particle":"de"},{"family":"Dankulincová","given":"Zuzana"},{"family":"Hublet","given":"Anne"},{"family":"Tynjälä","given":"Jorma"},{"family":"Välimaa","given":"Raili"},{"family":"Bendtsen","given":"Pernille"},{"family":"Vieno","given":"Alessio"},{"family":"Mazur","given":"Joanna"},{"family":"Farkas","given":"Judith"},{"family":"Demetrovics","given":"Zsolt"}],"issued":{"date-parts":[["2015",3,1]]}},"label":"page"},{"id":2033,"uris":["http://zotero.org/users/1335606/items/3WIT384S"],"uri":["http://zotero.org/users/1335606/items/3WIT384S"],"itemData":{"id":2033,"type":"article-journal","title":"Parenting Factors Associated with Reduced Adolescent Alcohol Use: A Systematic Review of Longitudinal Studies","container-title":"Australian &amp; New Zealand Journal of Psychiatry","page":"774-783","volume":"44","issue":"9","source":"CrossRef","abstract":"Objective: To identify parenting strategies associated with adolescent alcohol consumption that parents can use to implement new national guidelines regarding alcohol consumption by people under the age of 18. Methods: A systematic search of academic literature employing the PRISMA method identified 77 relevant articles. Inclusion criteria for the review were (i) longitudinal cohort studies; (ii) measurement of one or more parenting factors during adolescence or pre-adolescence (between the ages of 8 and 17) as a predictor (iii) outcome measurement of any alcohol use and/or alcohol related problems during adolescence at least one time point after the initial parenting factor was measured, and/or problem drinking in adulthood. Studies were excluded if alcohol use was combined with other substance use or problem behaviour as an outcome variable, or if different parenting factors were combined as a single predictor variable for analysis. Stouffer's method of combining p values was used to determine whether associations between variables were reliable. Results: Twelve parenting variables were investigated in these studies: parental modelling, provision of alcohol, alcohol-specific communication, disapproval of adolescent drinking, general discipline, rules about alcohol, parental monitoring, parent–child relationship quality, family conflict, parental support, parental involvement, and general communication. We found that delayed alcohol initiation was predicted by: parental modelling, limiting availability of alcohol to the child, parental monitoring, parent–child relationship quality, parental involvement and general communication. Reduced levels of later drinking by adolescents were predicted by: parental modelling, limiting availability of alcohol to the child, disapproval of adolescent drinking, general discipline, parental monitoring, parent–child relationship quality, parental support and general communication. Conclusions: A number of parenting strategies were identified that parents can use to reduce their adolescent's alcohol consumption. These could be promoted to parents to help them implement new national guidelines on alcohol use.","DOI":"10.1080/00048674.2010.501759","ISSN":"0004-8674, 1440-1614","title-short":"Parenting Factors Associated with Reduced Adolescent Alcohol Use","language":"en","author":[{"family":"Ryan","given":"Siobhan M."},{"family":"Jorm","given":"Anthony F."},{"family":"Lubman","given":"Dan I."}],"issued":{"date-parts":[["2010",9]]}},"label":"page"}],"schema":"https://github.com/citation-style-language/schema/raw/master/csl-citation.json"} </w:instrText>
      </w:r>
      <w:r w:rsidRPr="003832ED">
        <w:fldChar w:fldCharType="separate"/>
      </w:r>
      <w:r w:rsidRPr="003832ED">
        <w:t>(Donovan, 2004; Janssen et al., 2014; Kuntsche et al., 2015; Ryan et al., 2010)</w:t>
      </w:r>
      <w:r w:rsidRPr="003832ED">
        <w:fldChar w:fldCharType="end"/>
      </w:r>
      <w:r w:rsidRPr="003832ED">
        <w:t xml:space="preserve">. Accordingly, it was surprising in the present study that two subjective norm items did not significantly predict intentions to consume alcohol or alcohol consumption status. The non-significant association of these subjective norm items may be attributable to the atypical nature of this cohort resulting in lower rates of exposure to alcohol drinking peers and parents. Further investigation into this social phenomenon and its influence on alcohol consumption in adolescents exhibiting low rates of drinking maybe worthwhile. </w:t>
      </w:r>
    </w:p>
    <w:p w14:paraId="6EB0A69A" w14:textId="77777777" w:rsidR="00453A91" w:rsidRPr="003832ED" w:rsidRDefault="00453A91" w:rsidP="00453A91">
      <w:r w:rsidRPr="003832ED">
        <w:lastRenderedPageBreak/>
        <w:t xml:space="preserve">A key objective of the present study was to simultaneously measure the association of childhood experiences, and the TRA constructs of attitudes, subjective norms, and intentions, on alcohol consumption. Notably, ACEs were associated with every variable in the model, thus further expanding upon the work of others who have reported connection a between ACEs and alcohol consumption in adolescents </w:t>
      </w:r>
      <w:r w:rsidRPr="003832ED">
        <w:fldChar w:fldCharType="begin"/>
      </w:r>
      <w:r w:rsidRPr="003832ED">
        <w:instrText xml:space="preserve"> ADDIN ZOTERO_ITEM CSL_CITATION {"citationID":"L98v9UMf","properties":{"formattedCitation":"(Dube et al., 2006)","plainCitation":"(Dube et al., 2006)","noteIndex":0},"citationItems":[{"id":2057,"uris":["http://zotero.org/users/1335606/items/IDB9LNQB"],"uri":["http://zotero.org/users/1335606/items/IDB9LNQB"],"itemData":{"id":2057,"type":"article-journal","title":"Adverse childhood experiences and the association with ever using alcohol and initiating alcohol use during adolescence","container-title":"The Journal of Adolescent Health: Official Publication of the Society for Adolescent Medicine","page":"444.e1-10","volume":"38","issue":"4","source":"PubMed","abstract":"PURPOSE: Alcohol is the most common and frequently used drug and has the potential to cause multiple deleterious effects throughout the lifespan. Because early age at initiation of alcohol use increases this potential and programs and laws are in place to attempt to delay the onset of alcohol use, we studied the relationship between multiple adverse childhood experiences (ACEs) and both the likelihood of ever drinking and the age at initiating alcohol use.\nMETHODS: This was a retrospective cohort study of 8417 adult health maintenance organization (HMO) members in California who completed a survey about ACEs, which included childhood abuse and neglect, growing up with various forms of household dysfunction and alcohol use in adolescence and adulthood. The main outcomes measured were ever drinking and age at initiating alcohol use among ever-drinkers for four age categories: &lt; or = 14 years (early adolescence), 15 to 17 years (mid adolescence), and 18 to 20 years (late adolescence); age &gt; or = 21 years was the referent. The relationship between the total number of adverse childhood experiences (ACE score) and early initiation of alcohol use (&lt; or =14 years) among four birth cohorts dating back to 1900 was also examined.\nRESULTS: Eighty-nine percent of the cohort reported ever drinking; all individual ACEs except physical neglect increased the risk of ever using alcohol (p &lt; .05). Among ever drinkers, initiating alcohol use by age 14 years was increased two- to threefold by individual ACEs (p &lt; .05). ACEs also accounted for a 20% to 70% increased likelihood of alcohol use initiated during mid adolescence (15-17 years). The total number of ACEs (ACE score) had a very strong graded relationship to initiating alcohol use during early adolescence and a robust but somewhat less strong relationship to initiation during mid adolescence. For each of the four birth cohorts, the ACE score had a strong, graded relationship to initiating alcohol use by age 14 years (p &lt; .05).\nCONCLUSIONS: Adverse childhood experiences are strongly related to ever drinking alcohol and to alcohol initiation in early and mid adolescence, and the ACE score had a graded or \"dose-response\" relationship to these alcohol use behaviors. The persistent graded relationship between the ACE score and initiation of alcohol use by age 14 for four successive birth cohorts dating back to 1900 suggests that the stressful effects of ACEs transcend secular changes, including the increased availability of alcohol, alcohol advertising, and the recent campaigns and health education programs to prevent alcohol use. These findings strongly suggest that efforts to delay the age of onset of drinking must recognize the contribution of multiple traumatic and stressful events to alcohol-seeking behavior among children and adolescents.","DOI":"10.1016/j.jadohealth.2005.06.006","ISSN":"1879-1972","note":"PMID: 16549308","journalAbbreviation":"J Adolesc Health","language":"eng","author":[{"family":"Dube","given":"Shanta R."},{"family":"Miller","given":"Jacqueline W."},{"family":"Brown","given":"David W."},{"family":"Giles","given":"Wayne H."},{"family":"Felitti","given":"Vincent J."},{"family":"Dong","given":"Maxia"},{"family":"Anda","given":"Robert F."}],"issued":{"date-parts":[["2006",4]]}}}],"schema":"https://github.com/citation-style-language/schema/raw/master/csl-citation.json"} </w:instrText>
      </w:r>
      <w:r w:rsidRPr="003832ED">
        <w:fldChar w:fldCharType="separate"/>
      </w:r>
      <w:r w:rsidRPr="003832ED">
        <w:rPr>
          <w:noProof/>
        </w:rPr>
        <w:t>(Dube et al., 2006)</w:t>
      </w:r>
      <w:r w:rsidRPr="003832ED">
        <w:fldChar w:fldCharType="end"/>
      </w:r>
      <w:r w:rsidRPr="003832ED">
        <w:t xml:space="preserve">. Interventions intended to delay the onset of drinking alcohol in adolescents may be enhanced from understanding the contribution that ACEs have on the lives of children, not only directly, but indirectly through attitudes, social pressures and intentions. As the ACEs score accessed early life experiences, this study highlights the importance gathering information about the early lives of children and their families in order to design preventive strategies targeting ACEs for children and families as early as possible. For adolescents suffering ACEs, advances in neuroeducation based interventions </w:t>
      </w:r>
      <w:r w:rsidRPr="003832ED">
        <w:fldChar w:fldCharType="begin"/>
      </w:r>
      <w:r w:rsidRPr="003832ED">
        <w:instrText xml:space="preserve"> ADDIN ZOTERO_ITEM CSL_CITATION {"citationID":"aVtgwtgA","properties":{"formattedCitation":"(Leitch, 2017)","plainCitation":"(Leitch, 2017)","noteIndex":0},"citationItems":[{"id":2377,"uris":["http://zotero.org/users/1335606/items/62HSK6WR"],"uri":["http://zotero.org/users/1335606/items/62HSK6WR"],"itemData":{"id":2377,"type":"article-journal","title":"Action steps using ACEs and trauma-informed care: a resilience model","container-title":"Health &amp; Justice","volume":"5","source":"PubMed Central","abstract":"This paper 1) discusses two important contributions that are shaping work with vulnerable and under-resourced populations: Kaiser Permanente’s (1998) Adverse Childhood Experiences Study (ACE) which includes the impact of adverse experiences in childhood on adult health and health behaviors and the more recent advent of what has come to be known as Trauma-Informed Care (TIC), programs which incorporate knowledge of the impact of early trauma into policies and programs. 2) Despite many positive benefits that have come from both contributions there are unintended consequences, described in the paper, that have an impact on research and program evaluation as well as social policies and programs. 3) Three key neuroscience concepts are recommended for inclusion in Trauma-Informed Care programs and practices in ways that can enrich program design and guide the development of practical, resilience-oriented interventions that can be evaluated for outcomes. 4) Finally, a resilience-oriented approach to TIC is recommended that moves from trauma information to neuroscience-based action with practical skills to build greater capacity for self-regulation and self-care in both service providers and clients. Examples from criminal justice are used.","URL":"https://www.ncbi.nlm.nih.gov/pmc/articles/PMC5409906/","DOI":"10.1186/s40352-017-0050-5","ISSN":"2194-7899","note":"PMID: 28455574\nPMCID: PMC5409906","title-short":"Action steps using ACEs and trauma-informed care","journalAbbreviation":"Health Justice","author":[{"family":"Leitch","given":"Laurie"}],"issued":{"date-parts":[["2017",4,28]]},"accessed":{"date-parts":[["2018",3,20]]}}}],"schema":"https://github.com/citation-style-language/schema/raw/master/csl-citation.json"} </w:instrText>
      </w:r>
      <w:r w:rsidRPr="003832ED">
        <w:fldChar w:fldCharType="separate"/>
      </w:r>
      <w:r w:rsidRPr="003832ED">
        <w:rPr>
          <w:noProof/>
        </w:rPr>
        <w:t>(Leitch, 2017)</w:t>
      </w:r>
      <w:r w:rsidRPr="003832ED">
        <w:fldChar w:fldCharType="end"/>
      </w:r>
      <w:r w:rsidRPr="003832ED">
        <w:t xml:space="preserve"> may enable ACEs affected adolescents to respond in a healthy way to stress caused by ACEs. Although children may have no choice in the ACEs they experience, this study reinforces the necessity for childhood human rights and protection to be at the forefront of global policy and intervention development. Further research examining the mechanism through which ACEs in early childhood contribute to the development of beliefs that drive attitudes and subjective norms would be valuable.</w:t>
      </w:r>
    </w:p>
    <w:p w14:paraId="09F44FCB" w14:textId="77777777" w:rsidR="00453A91" w:rsidRPr="003832ED" w:rsidRDefault="00453A91" w:rsidP="00453A91">
      <w:r w:rsidRPr="003832ED">
        <w:t xml:space="preserve">The association of CFD with adolescent alcohol consumption observed in this study is not surprising given that interventions targeting family dynamics have been shown to be the most effective prevention and treatment for adolescent alcohol use </w:t>
      </w:r>
      <w:r w:rsidRPr="003832ED">
        <w:fldChar w:fldCharType="begin"/>
      </w:r>
      <w:r w:rsidRPr="003832ED">
        <w:instrText xml:space="preserve"> ADDIN ZOTERO_ITEM CSL_CITATION {"citationID":"aiac8jjdb","properties":{"formattedCitation":"(Foxcroft, Ireland, Lister-Sharp, Lowe, &amp; Breen, 2003; Livingston, 2015)","plainCitation":"(Foxcroft, Ireland, Lister-Sharp, Lowe, &amp; Breen, 2003; Livingston, 2015)","noteIndex":0},"citationItems":[{"id":2364,"uris":["http://zotero.org/users/1335606/items/ZQHIWHPL"],"uri":["http://zotero.org/users/1335606/items/ZQHIWHPL"],"itemData":{"id":2364,"type":"article-journal","title":"Longer-term primary prevention for alcohol misuse in young people: a systematic review","container-title":"Addiction (Abingdon, England)","page":"397-411","volume":"98","issue":"4","source":"PubMed","abstract":"OBJECTIVE: To identify and summarize rigorous evaluations of psychosocial and educational interventions aimed at the primary prevention of alcohol misuse by young people aged up to 25 years, especially over the longer term (&gt;3 years).\nMETHODS: Cochrane Collaboration Systematic Review.\nDATA SOURCES: A comprehensive search of 22 databases and recursive checking of bibliographies for randomized and non-randomized controlled trials and interrupted time-series studies.\nMAIN OUTCOME MEASURES: Objective or self-report measures of alcohol use and misuse.\nRESULTS: Fifty-six studies were selected for inclusion in the systematic review. Twenty of the 56 studies showed evidence of ineffectiveness. No firm conclusions about the effectiveness of prevention interventions in the short- and medium term were possible. Over the longer term (&gt;3 years), the Strengthening Families Programme (SFP) showed promise as an effective prevention intervention. The Number Needed to Treat (NNT) for the SFP over 4 years for three alcohol initiation behaviours (alcohol use, alcohol use without permission and first drunkenness) was 9 (for all three behaviours). One study also highlighted the potential value of culturally focused skills training over the longer-term (NNT = 17 over 3.5 years for 4+ drinks in the last week)\nCONCLUSIONS: (1) Research into important outcome variables needs to be undertaken; (2) the methodology of evaluations needs to be improved; (3) the SFP needs to be evaluated on a larger scale and in different settings; (4) culturally focused interventions require further development and rigorous evaluation; and (5) an international register of alcohol and drug misuse prevention interventions should be established and criteria agreed for rating prevention interventions in terms of safety, efficacy and effectiveness.","ISSN":"0965-2140","note":"PMID: 12653810","title-short":"Longer-term primary prevention for alcohol misuse in young people","journalAbbreviation":"Addiction","language":"eng","author":[{"family":"Foxcroft","given":"D. R."},{"family":"Ireland","given":"D."},{"family":"Lister-Sharp","given":"D. J."},{"family":"Lowe","given":"G."},{"family":"Breen","given":"R."}],"issued":{"date-parts":[["2003",4]]}},"label":"page"},{"id":2119,"uris":["http://zotero.org/users/1335606/items/CRG54XGS"],"uri":["http://zotero.org/users/1335606/items/CRG54XGS"],"itemData":{"id":2119,"type":"report","title":"Understanding recent trends in australian alcohol consumption","publisher":"Foundation for Alcohol Research and Education","publisher-place":"Canberra","event-place":"Canberra","URL":"http://www.fare.org.au/wp-content/uploads/research/Understanding-recent-trends-in-Australian-alcohol-consumption.pdf","author":[{"family":"Livingston","given":"Michael"}],"issued":{"date-parts":[["2015"]]}},"label":"page"}],"schema":"https://github.com/citation-style-language/schema/raw/master/csl-citation.json"} </w:instrText>
      </w:r>
      <w:r w:rsidRPr="003832ED">
        <w:fldChar w:fldCharType="separate"/>
      </w:r>
      <w:r w:rsidRPr="003832ED">
        <w:rPr>
          <w:noProof/>
        </w:rPr>
        <w:t>(Foxcroft, Ireland, Lister-Sharp, Lowe, &amp; Breen, 2003; Livingston, 2015)</w:t>
      </w:r>
      <w:r w:rsidRPr="003832ED">
        <w:fldChar w:fldCharType="end"/>
      </w:r>
      <w:r w:rsidRPr="003832ED">
        <w:t xml:space="preserve">. Understanding how family dynamics not only influence alcohol use directly but indirectly through attitudes, social pressures and intentions may benefit intervention development. The originating role of family dynamics in early childhood and alcohol consumption later in the adolescent years, points to the potential value of family-based alcohol prevention programs promoting positive family dynamics in early </w:t>
      </w:r>
      <w:r w:rsidRPr="003832ED">
        <w:lastRenderedPageBreak/>
        <w:t xml:space="preserve">childhood. Comparisons of the CFD experienced by this faith cohort compared to other populations and ACS warrants further investigation. </w:t>
      </w:r>
    </w:p>
    <w:p w14:paraId="7CA5DD4F" w14:textId="77777777" w:rsidR="00453A91" w:rsidRPr="003832ED" w:rsidRDefault="00453A91" w:rsidP="00453A91">
      <w:r w:rsidRPr="003832ED">
        <w:t>The multi-group analysis in this study demonstrated several significant pathway differences between gender and adolescent age groups. The stronger association between intention to consume alcohol and alcohol consumption in older adolescents compared to younger adolescents was expected. The attitude that it is ok to drink alcohol had a stronger association with intention to consume alcohol for males and older adolescents which may also explain the higher ACS in older adolescents compared to younger adolescents. Interventions addressing this attitude in males and older adolescents may decrease alcohol consumption in these groups. The gender and age differences in the pathways between ACEs and CFD and the attitudinal variable “alcohol is harmful to my relationships” also highlight the importance of age and gender appropriate intervention development in these areas.</w:t>
      </w:r>
    </w:p>
    <w:p w14:paraId="0228133E" w14:textId="77777777" w:rsidR="00453A91" w:rsidRPr="003832ED" w:rsidRDefault="00453A91" w:rsidP="00453A91">
      <w:pPr>
        <w:pStyle w:val="Heading3"/>
        <w:spacing w:line="240" w:lineRule="auto"/>
      </w:pPr>
      <w:bookmarkStart w:id="22" w:name="_Toc16539540"/>
      <w:r w:rsidRPr="003832ED">
        <w:t>Strengths and Limitations</w:t>
      </w:r>
      <w:bookmarkEnd w:id="22"/>
    </w:p>
    <w:p w14:paraId="5676E898" w14:textId="77777777" w:rsidR="00453A91" w:rsidRPr="003832ED" w:rsidRDefault="00453A91" w:rsidP="00453A91">
      <w:r w:rsidRPr="003832ED">
        <w:t xml:space="preserve">The strength of this study is that it simultaneously measured the association of the childhood experiences, ACEs and CFD and the key TRA constructs of attitudes, subjective norms, intentions on alcohol consumption. However, it is acknowledged that the model presented in this study, although strong, does not represent all factors that are related to adolescent alcohol consumption. For example, individual characteristics, policy, pricing, advertising and higher densities of alcohol outlets are also associated with ACS </w:t>
      </w:r>
      <w:r w:rsidRPr="003832ED">
        <w:fldChar w:fldCharType="begin"/>
      </w:r>
      <w:r w:rsidRPr="003832ED">
        <w:instrText xml:space="preserve"> ADDIN ZOTERO_ITEM CSL_CITATION {"citationID":"5VzU1Swx","properties":{"formattedCitation":"(Livingston, 2014)","plainCitation":"(Livingston, 2014)","noteIndex":0},"citationItems":[{"id":2110,"uris":["http://zotero.org/users/1335606/items/TA5I6ZPK"],"uri":["http://zotero.org/users/1335606/items/TA5I6ZPK"],"itemData":{"id":2110,"type":"article-journal","title":"Trends in non-drinking among Australian adolescents","container-title":"Addiction","page":"922-929","volume":"109","issue":"6","source":"Wiley Online Library","abstract":"Background and Aims\n\nRecent evidence suggests that there has been a sharp increase in non-drinking among Australian adolescents. This study aimed to explore the socio-demographic patterns of this increase to identify the potential causal factors.\n\n\nDesign\n\nTwo waves (2001 and 2010) of cross-sectional data from the National Drug Strategy Household Survey, a large-scale population survey. Logistic regression analyses were used to identify significant changes over time, with interaction terms used to test whether trends varied by respondent characteristics.\n\n\nSetting\n\nAustralia.\n\n\nParticipants\n\nRespondents aged 14–17 years (n = 1477 in 2001 and 1075 in 2010).\n\n\nMeasurements\n\nThe key outcome measure was 12-month abstention from alcohol. Socio-demographic variables including sex, age, income, socio-economic status, state and rurality were examined.\n\n\nFindings\n\nRates of abstention increased overall from 32.9% [95% confidence interval (CI) = 30.0–35.7%) to 50.2% (95% CI = 46.7–53.6%) (P &lt; 0.01). Abstention increased significantly across all population subgroups examined.\n\n\nConclusions\n\nA broad change in drinking behaviour has occurred among Australian adolescents in the last decade, with rates of abstention among 14–17-year-olds increasing markedly. Increases in abstention have occurred consistently across a wide range of population subgroups defined by demographic, socio-economic and regional factors.","DOI":"10.1111/add.12524","ISSN":"1360-0443","journalAbbreviation":"Addiction","language":"en","author":[{"family":"Livingston","given":"Michael"}],"issued":{"date-parts":[["2014",6,1]]}}}],"schema":"https://github.com/citation-style-language/schema/raw/master/csl-citation.json"} </w:instrText>
      </w:r>
      <w:r w:rsidRPr="003832ED">
        <w:fldChar w:fldCharType="separate"/>
      </w:r>
      <w:r w:rsidRPr="003832ED">
        <w:rPr>
          <w:noProof/>
        </w:rPr>
        <w:t>(Livingston, 2014)</w:t>
      </w:r>
      <w:r w:rsidRPr="003832ED">
        <w:fldChar w:fldCharType="end"/>
      </w:r>
      <w:r w:rsidRPr="003832ED">
        <w:t xml:space="preserve">. Although the item measuring ACS has been used in previous studies </w:t>
      </w:r>
      <w:r w:rsidRPr="003832ED">
        <w:rPr>
          <w:rFonts w:eastAsia="MS Gothic"/>
        </w:rPr>
        <w:fldChar w:fldCharType="begin"/>
      </w:r>
      <w:r w:rsidRPr="003832ED">
        <w:rPr>
          <w:rFonts w:eastAsia="MS Gothic"/>
        </w:rPr>
        <w:instrText xml:space="preserve"> ADDIN ZOTERO_ITEM CSL_CITATION {"citationID":"VB3IFnMg","properties":{"formattedCitation":"(Bowden et al., 2017a; White &amp; Bariola, 2012; V. M. White et al., 1997)","plainCitation":"(Bowden et al., 2017a; White &amp; Bariola, 2012; V. M. White et al., 1997)","noteIndex":0},"citationItems":[{"id":1971,"uris":["http://zotero.org/users/1335606/items/WFDH2XM5"],"uri":["http://zotero.org/users/1335606/items/WFDH2XM5"],"itemData":{"id":1971,"type":"article-journal","title":"Prevalence, perceptions and predictors of alcohol consumption and abstinence among South Australian school students: a cross-sectional analysis","container-title":"BMC Public Health","volume":"17","source":"PubMed Central","abstract":"Background\nAlcohol consumption by young people (particularly early initiation) is a predictor for poorer health in later life. In addition, evidence now clearly shows a causal link between alcohol and cancer. This study investigated prevalence, predictors of alcohol consumption among adolescents including perceptions of the link between alcohol and cancer, and the role of parents and peers.\n\nMethods\nA sample of Australian school students aged 12–17 years participated in a survey (n = 2885). Logistic regression analysis was undertaken to determine predictors.\n\nResults\nAlcohol use increased with age and by 16, most had tried alcohol with 33.1% of students aged 12–17 reporting that they drank at least occasionally (95% CI = 31.0–35.2). Awareness of the link between alcohol and cancer was low (28.5%). Smoking status and friends’ approval were predictive of drinking, whereas parental disapproval was protective. Those aged 14–17 who did not think the link between alcohol and cancer was important were more likely to drink, as were those living in areas of least disadvantage. The only factors that predicted recent drinking were smoking and the perception that alcohol was easy to purchase.\n\nConclusions\nAn education campaign highlighting the link between alcohol and cancer may have positive flow-on effects for young people, and schools should incorporate this messaging into any alcohol education programs. Consideration should be given to factors that serve to regulate under-aged accessibility of alcohol.","URL":"http://www.ncbi.nlm.nih.gov/pmc/articles/PMC5461699/","DOI":"10.1186/s12889-017-4475-5","ISSN":"1471-2458","note":"PMID: 28592268\nPMCID: PMC5461699","title-short":"Prevalence, perceptions and predictors of alcohol consumption and abstinence among South Australian school students","journalAbbreviation":"BMC Public Health","author":[{"family":"Bowden","given":"Jacqueline A."},{"family":"Delfabbro","given":"Paul"},{"family":"Room","given":"Robin"},{"family":"Miller","given":"Caroline L."},{"family":"Wilson","given":"Carlene"}],"issued":{"date-parts":[["2017",6,7]]},"accessed":{"date-parts":[["2017",8,4]]}},"label":"page"},{"id":2117,"uris":["http://zotero.org/users/1335606/items/PSN552ZG"],"uri":["http://zotero.org/users/1335606/items/PSN552ZG"],"itemData":{"id":2117,"type":"report","title":"Australian secondary school students’ use of tobacco, alcohol, and over-the- counter and illicit substances in 2011","publisher":"The Cancer Council Victoria","publisher-place":"Melbourne","event-place":"Melbourne","URL":"http://www.nationaldrugstrategy.gov.au/internet/drugstrategy/Publishing.nsf/content/BCBF6B2C638E1202CA257ACD0020E35C/$File/National%20Report_FINAL_ASSAD_7.12.pdf","author":[{"family":"White","given":""},{"family":"Bariola","given":""}],"issued":{"date-parts":[["2012"]]}},"label":"page"},{"id":2658,"uris":["http://zotero.org/users/1335606/items/MNVQ5EBV"],"uri":["http://zotero.org/users/1335606/items/MNVQ5EBV"],"itemData":{"id":2658,"type":"article-journal","title":"Alcohol use among Australian secondary students in 1993","container-title":"Drug and Alcohol Review","page":"113-122","volume":"16","issue":"2","source":"Taylor and Francis+NEJM","abstract":"The prevalence of alcohol consumption among Australian secondary students in 1993 was estimated from a survey of 22 696 students aged between 12 and 17 years. A random, representative sample of schools from all education systems (government, Catholic and independent) was selected and a sample of 80 students from each school was randomly selected from predetermined year levels. Students completed an anonymous, self-administered survey on their drinking behaviours. Results showed that drinking was common, with 46% of female and 50% of male 17-year-olds having drunk on at least one of the 7 days prior to the survey (defined as current drinkers). Among 12–17-year-olds who were current drinkers, 27% of males had five or more alcoholic drinks on at least one drinking (“heavy drinking”) while 43% of girls had had three or more drinks (“heavy drinking”). Among current drinkers aged 12–15 years, 10% of boys and 12% of girls had “binged” (for boys drinking eight or more drinks in one session, for girls having six or more drinks at one session) while among current drinkers aged 16 and 17 years the corresponding proportions were 33% of boys and 30% of girls. After controlling for age, sex, school type and state, the proportion of 12–15-year-olds who were current drinkers rose from 24% to 26% between 1990 and 1993. Among 16 and 17-year-olds, the proportion of current drinkers in 1993 (47%) was the same as that found in 1990, although there were more heavy drinkers and binge drinkers in 1993 than in 1990.","DOI":"10.1080/09595239700186401","ISSN":"0959-5236","author":[{"family":"White","given":"Victoria M."},{"family":"Hill","given":"David J."},{"family":"Segan","given":"Catherine J."}],"issued":{"date-parts":[["1997",1,1]]}},"label":"page"}],"schema":"https://github.com/citation-style-language/schema/raw/master/csl-citation.json"} </w:instrText>
      </w:r>
      <w:r w:rsidRPr="003832ED">
        <w:rPr>
          <w:rFonts w:eastAsia="MS Gothic"/>
        </w:rPr>
        <w:fldChar w:fldCharType="separate"/>
      </w:r>
      <w:r w:rsidRPr="003832ED">
        <w:rPr>
          <w:rFonts w:eastAsia="MS Gothic"/>
          <w:noProof/>
        </w:rPr>
        <w:t>(Bowden et al., 2017a; White &amp; Bariola, 2012; V. M. White et al., 1997)</w:t>
      </w:r>
      <w:r w:rsidRPr="003832ED">
        <w:rPr>
          <w:rFonts w:eastAsia="MS Gothic"/>
        </w:rPr>
        <w:fldChar w:fldCharType="end"/>
      </w:r>
      <w:r w:rsidRPr="003832ED">
        <w:rPr>
          <w:rFonts w:eastAsia="MS Gothic"/>
        </w:rPr>
        <w:t xml:space="preserve">, its </w:t>
      </w:r>
      <w:r w:rsidRPr="003832ED">
        <w:t xml:space="preserve">subjective nature is acknowledged. Future studies may benefit from an alcohol consumption frequency measure in an attempt to gain a more objective measure of alcohol consumption. The cross-sectional nature of this study means that only associations could be measured and hence it is not possible to conclude </w:t>
      </w:r>
      <w:r w:rsidRPr="003832ED">
        <w:lastRenderedPageBreak/>
        <w:t>causality. Futures studies may also benefit from employing the Theory of Planned Behaviour which extends on the TRA by positing that the construct perceived behavioural control also influences intentions and subsequent behaviours.</w:t>
      </w:r>
    </w:p>
    <w:p w14:paraId="2AC5FC78" w14:textId="77777777" w:rsidR="00453A91" w:rsidRPr="003832ED" w:rsidRDefault="00453A91" w:rsidP="00453A91">
      <w:pPr>
        <w:pStyle w:val="Heading2"/>
      </w:pPr>
      <w:bookmarkStart w:id="23" w:name="_Toc16539541"/>
      <w:r w:rsidRPr="003832ED">
        <w:t>Conclusion</w:t>
      </w:r>
      <w:bookmarkEnd w:id="23"/>
    </w:p>
    <w:p w14:paraId="28636C12" w14:textId="1E006C65" w:rsidR="00895BDE" w:rsidRDefault="00453A91" w:rsidP="00453A91">
      <w:r w:rsidRPr="003832ED">
        <w:t>This study presents a model describing a complex network of factors associated with alcohol consumption in adolescents that exhibit lower rates of drinking than the general population. The results confirm the association of intentions, attitudes towards alcohol consumption, subjective norms surrounding alcohol consumption and childhood experiences with alcohol consumption status. The study fills a gap in the literature relating to factors predicting alcohol consumption in a low ACS population. The findings highlight the importance of designing age and gender appropriate interventions for children and families as early as possible in order to delay or minimize alcohol consumption in adolescents.</w:t>
      </w:r>
    </w:p>
    <w:p w14:paraId="114B1159" w14:textId="07E52EB8" w:rsidR="00453A91" w:rsidRDefault="00453A91" w:rsidP="00453A91"/>
    <w:p w14:paraId="7E3E02D6" w14:textId="2BFFBC36" w:rsidR="00453A91" w:rsidRDefault="00453A91" w:rsidP="00453A91"/>
    <w:p w14:paraId="0CE42FD3" w14:textId="290B5AB7" w:rsidR="00453A91" w:rsidRDefault="00453A91" w:rsidP="00453A91"/>
    <w:p w14:paraId="33A3E6A3" w14:textId="31D3D1FC" w:rsidR="00453A91" w:rsidRDefault="00453A91" w:rsidP="00453A91"/>
    <w:p w14:paraId="262B7110" w14:textId="6B9D3559" w:rsidR="00453A91" w:rsidRDefault="00453A91" w:rsidP="00453A91"/>
    <w:p w14:paraId="09147C90" w14:textId="71FB6312" w:rsidR="00453A91" w:rsidRDefault="00453A91" w:rsidP="00453A91"/>
    <w:p w14:paraId="5414A3AC" w14:textId="36D7DA52" w:rsidR="00453A91" w:rsidRDefault="00453A91" w:rsidP="00453A91"/>
    <w:p w14:paraId="69F2D054" w14:textId="232F2539" w:rsidR="00453A91" w:rsidRDefault="00453A91" w:rsidP="00453A91"/>
    <w:p w14:paraId="23378588" w14:textId="77777777" w:rsidR="00453A91" w:rsidRPr="00E02B79" w:rsidRDefault="00453A91" w:rsidP="00453A91">
      <w:pPr>
        <w:pStyle w:val="Heading1"/>
        <w:rPr>
          <w:rFonts w:cs="Times New Roman"/>
          <w:sz w:val="24"/>
          <w:szCs w:val="24"/>
        </w:rPr>
      </w:pPr>
      <w:r w:rsidRPr="00E02B79">
        <w:rPr>
          <w:rFonts w:cs="Times New Roman"/>
          <w:sz w:val="24"/>
          <w:szCs w:val="24"/>
        </w:rPr>
        <w:lastRenderedPageBreak/>
        <w:t>References</w:t>
      </w:r>
    </w:p>
    <w:p w14:paraId="240A7924" w14:textId="77777777" w:rsidR="00453A91" w:rsidRPr="00E02B79" w:rsidRDefault="00453A91" w:rsidP="00453A91">
      <w:pPr>
        <w:pStyle w:val="Bibliography"/>
      </w:pPr>
      <w:r w:rsidRPr="00E02B79">
        <w:fldChar w:fldCharType="begin"/>
      </w:r>
      <w:r w:rsidRPr="00E02B79">
        <w:instrText xml:space="preserve"> ADDIN ZOTERO_BIBL {"uncited":[],"omitted":[],"custom":[]} CSL_BIBLIOGRAPHY </w:instrText>
      </w:r>
      <w:r w:rsidRPr="00E02B79">
        <w:fldChar w:fldCharType="separate"/>
      </w:r>
      <w:r w:rsidRPr="00E02B79">
        <w:t xml:space="preserve">Ajzen, I., &amp; Fishbein, M. (1980). </w:t>
      </w:r>
      <w:r w:rsidRPr="00E02B79">
        <w:rPr>
          <w:i/>
          <w:iCs/>
        </w:rPr>
        <w:t>Understanding Attitudes and Predicting Social Behavior</w:t>
      </w:r>
      <w:r w:rsidRPr="00E02B79">
        <w:t xml:space="preserve"> (1 edition). Englewood Cliffs, N.J: Pearson.</w:t>
      </w:r>
    </w:p>
    <w:p w14:paraId="40D61F89" w14:textId="77777777" w:rsidR="00453A91" w:rsidRPr="00E02B79" w:rsidRDefault="00453A91" w:rsidP="00453A91">
      <w:pPr>
        <w:pStyle w:val="Bibliography"/>
      </w:pPr>
      <w:r w:rsidRPr="00E02B79">
        <w:t xml:space="preserve">Andréasson, S., Romelsjö, A., &amp; Allebeck, P. (1991). Alcohol, social factors and mortality among young men. </w:t>
      </w:r>
      <w:r w:rsidRPr="00E02B79">
        <w:rPr>
          <w:i/>
          <w:iCs/>
        </w:rPr>
        <w:t>British Journal of Addiction</w:t>
      </w:r>
      <w:r w:rsidRPr="00E02B79">
        <w:t xml:space="preserve">, </w:t>
      </w:r>
      <w:r w:rsidRPr="00E02B79">
        <w:rPr>
          <w:i/>
          <w:iCs/>
        </w:rPr>
        <w:t>86</w:t>
      </w:r>
      <w:r w:rsidRPr="00E02B79">
        <w:t>(7), 877–887. https://doi.org/10.1111/j.1360-0443.1991.tb01843.x</w:t>
      </w:r>
    </w:p>
    <w:p w14:paraId="7184B338" w14:textId="77777777" w:rsidR="00453A91" w:rsidRPr="00E02B79" w:rsidRDefault="00453A91" w:rsidP="00453A91">
      <w:pPr>
        <w:pStyle w:val="Bibliography"/>
      </w:pPr>
      <w:r w:rsidRPr="00E02B79">
        <w:t>Australian Bureau of Statistics. (2017). Schools Australia 2017. Retrieved from http://www.abs.gov.au/AUSSTATS/abs@.nsf/DetailsPage/4221.02017?OpenDocument</w:t>
      </w:r>
    </w:p>
    <w:p w14:paraId="0ADC4D21" w14:textId="77777777" w:rsidR="00453A91" w:rsidRPr="00E02B79" w:rsidRDefault="00453A91" w:rsidP="00453A91">
      <w:pPr>
        <w:pStyle w:val="Bibliography"/>
      </w:pPr>
      <w:r w:rsidRPr="00E02B79">
        <w:t xml:space="preserve">Bentler, P. M. (1990). Comparative fit indexes in structural models. </w:t>
      </w:r>
      <w:r w:rsidRPr="00E02B79">
        <w:rPr>
          <w:i/>
          <w:iCs/>
        </w:rPr>
        <w:t>Psychological Bulletin</w:t>
      </w:r>
      <w:r w:rsidRPr="00E02B79">
        <w:t xml:space="preserve">, </w:t>
      </w:r>
      <w:r w:rsidRPr="00E02B79">
        <w:rPr>
          <w:i/>
          <w:iCs/>
        </w:rPr>
        <w:t>107</w:t>
      </w:r>
      <w:r w:rsidRPr="00E02B79">
        <w:t>(2), 238–246.</w:t>
      </w:r>
    </w:p>
    <w:p w14:paraId="4087A01D" w14:textId="77777777" w:rsidR="00453A91" w:rsidRPr="00E02B79" w:rsidRDefault="00453A91" w:rsidP="00453A91">
      <w:pPr>
        <w:pStyle w:val="Bibliography"/>
      </w:pPr>
      <w:r w:rsidRPr="00E02B79">
        <w:t xml:space="preserve">Bowden, J. A., Delfabbro, P., Room, R., Miller, C. L., &amp; Wilson, C. (2017). Prevalence, perceptions and predictors of alcohol consumption and abstinence among South Australian school students: a cross-sectional analysis. </w:t>
      </w:r>
      <w:r w:rsidRPr="00E02B79">
        <w:rPr>
          <w:i/>
          <w:iCs/>
        </w:rPr>
        <w:t>BMC Public Health</w:t>
      </w:r>
      <w:r w:rsidRPr="00E02B79">
        <w:t xml:space="preserve">, </w:t>
      </w:r>
      <w:r w:rsidRPr="00E02B79">
        <w:rPr>
          <w:i/>
          <w:iCs/>
        </w:rPr>
        <w:t>17</w:t>
      </w:r>
      <w:r w:rsidRPr="00E02B79">
        <w:t>. https://doi.org/10.1186/s12889-017-4475-5</w:t>
      </w:r>
    </w:p>
    <w:p w14:paraId="2E164A0F" w14:textId="77777777" w:rsidR="00453A91" w:rsidRPr="00E02B79" w:rsidRDefault="00453A91" w:rsidP="00453A91">
      <w:pPr>
        <w:pStyle w:val="Bibliography"/>
      </w:pPr>
      <w:r w:rsidRPr="00E02B79">
        <w:t xml:space="preserve">Bronfenbrenner, U. (2005). The bioecological theory of human development. In U. Bronfenbrenner (Ed.), </w:t>
      </w:r>
      <w:r w:rsidRPr="00E02B79">
        <w:rPr>
          <w:i/>
          <w:iCs/>
        </w:rPr>
        <w:t>Making human beings human: bioecological perspectives on human development</w:t>
      </w:r>
      <w:r w:rsidRPr="00E02B79">
        <w:t xml:space="preserve"> (pp. 3–15). Thousand Oaks, CA: Sage.</w:t>
      </w:r>
    </w:p>
    <w:p w14:paraId="2823ECE7" w14:textId="77777777" w:rsidR="00453A91" w:rsidRPr="00E02B79" w:rsidRDefault="00453A91" w:rsidP="00453A91">
      <w:pPr>
        <w:pStyle w:val="Bibliography"/>
      </w:pPr>
      <w:r w:rsidRPr="00E02B79">
        <w:t xml:space="preserve">Bucy, E. P., &amp; Holbert, R. L. (2014). </w:t>
      </w:r>
      <w:r w:rsidRPr="00E02B79">
        <w:rPr>
          <w:i/>
          <w:iCs/>
        </w:rPr>
        <w:t>Sourcebook for Political Communication Research: Methods, Measures, and Analytical Techniques</w:t>
      </w:r>
      <w:r w:rsidRPr="00E02B79">
        <w:t>. Routledge.</w:t>
      </w:r>
    </w:p>
    <w:p w14:paraId="05443064" w14:textId="77777777" w:rsidR="00453A91" w:rsidRPr="00E02B79" w:rsidRDefault="00453A91" w:rsidP="00453A91">
      <w:pPr>
        <w:pStyle w:val="Bibliography"/>
      </w:pPr>
      <w:r w:rsidRPr="00E02B79">
        <w:lastRenderedPageBreak/>
        <w:t xml:space="preserve">Coleman, L. M., &amp; Cater, S. M. (2005). A qualitative study of the relationship between alcohol consumption and risky sex in adolescents. </w:t>
      </w:r>
      <w:r w:rsidRPr="00E02B79">
        <w:rPr>
          <w:i/>
          <w:iCs/>
        </w:rPr>
        <w:t>Archives of Sexual Behavior</w:t>
      </w:r>
      <w:r w:rsidRPr="00E02B79">
        <w:t xml:space="preserve">, </w:t>
      </w:r>
      <w:r w:rsidRPr="00E02B79">
        <w:rPr>
          <w:i/>
          <w:iCs/>
        </w:rPr>
        <w:t>34</w:t>
      </w:r>
      <w:r w:rsidRPr="00E02B79">
        <w:t>(6), 649–661. https://doi.org/10.1007/s10508-005-7917-6</w:t>
      </w:r>
    </w:p>
    <w:p w14:paraId="240110F8" w14:textId="77777777" w:rsidR="00453A91" w:rsidRPr="00E02B79" w:rsidRDefault="00453A91" w:rsidP="00453A91">
      <w:pPr>
        <w:pStyle w:val="Bibliography"/>
      </w:pPr>
      <w:r w:rsidRPr="00E02B79">
        <w:t xml:space="preserve">Cooke, R., Dahdah, M., Norman, P., &amp; French, D. P. (2016). How well does the theory of planned behaviour predict alcohol consumption? A systematic review and meta-analysis. </w:t>
      </w:r>
      <w:r w:rsidRPr="00E02B79">
        <w:rPr>
          <w:i/>
          <w:iCs/>
        </w:rPr>
        <w:t>Health Psychology Review</w:t>
      </w:r>
      <w:r w:rsidRPr="00E02B79">
        <w:t xml:space="preserve">, </w:t>
      </w:r>
      <w:r w:rsidRPr="00E02B79">
        <w:rPr>
          <w:i/>
          <w:iCs/>
        </w:rPr>
        <w:t>10</w:t>
      </w:r>
      <w:r w:rsidRPr="00E02B79">
        <w:t>(2), 148–167. https://doi.org/10.1080/17437199.2014.947547</w:t>
      </w:r>
    </w:p>
    <w:p w14:paraId="57F4CD1D" w14:textId="77777777" w:rsidR="00453A91" w:rsidRPr="00E02B79" w:rsidRDefault="00453A91" w:rsidP="00453A91">
      <w:pPr>
        <w:pStyle w:val="Bibliography"/>
      </w:pPr>
      <w:r w:rsidRPr="00E02B79">
        <w:t xml:space="preserve">Craig, B., Morton, D., Kent, L., Butler, T., Rankin, P., &amp; Price, K. (2017). The Body Mass Index of Adolescents Attending Seventh-Day Adventist Schools in Australia: 2001-2012. </w:t>
      </w:r>
      <w:r w:rsidRPr="00E02B79">
        <w:rPr>
          <w:i/>
          <w:iCs/>
        </w:rPr>
        <w:t>The Journal of School Health</w:t>
      </w:r>
      <w:r w:rsidRPr="00E02B79">
        <w:t xml:space="preserve">, </w:t>
      </w:r>
      <w:r w:rsidRPr="00E02B79">
        <w:rPr>
          <w:i/>
          <w:iCs/>
        </w:rPr>
        <w:t>87</w:t>
      </w:r>
      <w:r w:rsidRPr="00E02B79">
        <w:t>(8), 630–637. https://doi.org/10.1111/josh.12535</w:t>
      </w:r>
    </w:p>
    <w:p w14:paraId="656DB543" w14:textId="77777777" w:rsidR="00453A91" w:rsidRPr="00E02B79" w:rsidRDefault="00453A91" w:rsidP="00453A91">
      <w:pPr>
        <w:pStyle w:val="Bibliography"/>
      </w:pPr>
      <w:r w:rsidRPr="00E02B79">
        <w:t xml:space="preserve">Craig, B., Morton, D., Morey, P., Kent, L., Gane, B., Butler, T., … Price, K. (2018). The association between self-rated health and social environments, health behaviors and health outcomes: a structural equation analysis. </w:t>
      </w:r>
      <w:r w:rsidRPr="00E02B79">
        <w:rPr>
          <w:i/>
          <w:iCs/>
        </w:rPr>
        <w:t>BMC Public Health</w:t>
      </w:r>
      <w:r w:rsidRPr="00E02B79">
        <w:t xml:space="preserve">, </w:t>
      </w:r>
      <w:r w:rsidRPr="00E02B79">
        <w:rPr>
          <w:i/>
          <w:iCs/>
        </w:rPr>
        <w:t>18</w:t>
      </w:r>
      <w:r w:rsidRPr="00E02B79">
        <w:t>, 440. https://doi.org/10.1186/s12889-018-5323-y</w:t>
      </w:r>
    </w:p>
    <w:p w14:paraId="3CCFC27A" w14:textId="77777777" w:rsidR="00453A91" w:rsidRPr="00E02B79" w:rsidRDefault="00453A91" w:rsidP="00453A91">
      <w:pPr>
        <w:pStyle w:val="Bibliography"/>
      </w:pPr>
      <w:r w:rsidRPr="00E02B79">
        <w:t xml:space="preserve">Donovan, J. E. (2004). Adolescent alcohol initiation: a review of psychosocial risk factors. </w:t>
      </w:r>
      <w:r w:rsidRPr="00E02B79">
        <w:rPr>
          <w:i/>
          <w:iCs/>
        </w:rPr>
        <w:t>The Journal of Adolescent Health: Official Publication of the Society for Adolescent Medicine</w:t>
      </w:r>
      <w:r w:rsidRPr="00E02B79">
        <w:t xml:space="preserve">, </w:t>
      </w:r>
      <w:r w:rsidRPr="00E02B79">
        <w:rPr>
          <w:i/>
          <w:iCs/>
        </w:rPr>
        <w:t>35</w:t>
      </w:r>
      <w:r w:rsidRPr="00E02B79">
        <w:t>(6), 529.e7-18. https://doi.org/10.1016/j.jadohealth.2004.02.003</w:t>
      </w:r>
    </w:p>
    <w:p w14:paraId="096494D2" w14:textId="77777777" w:rsidR="00453A91" w:rsidRPr="00E02B79" w:rsidRDefault="00453A91" w:rsidP="00453A91">
      <w:pPr>
        <w:pStyle w:val="Bibliography"/>
      </w:pPr>
      <w:r w:rsidRPr="00E02B79">
        <w:t xml:space="preserve">Dube, S. R., Miller, J. W., Brown, D. W., Giles, W. H., Felitti, V. J., Dong, M., &amp; Anda, R. F. (2006). Adverse childhood experiences and the association with ever using alcohol and initiating alcohol use during adolescence. </w:t>
      </w:r>
      <w:r w:rsidRPr="00E02B79">
        <w:rPr>
          <w:i/>
          <w:iCs/>
        </w:rPr>
        <w:t>The Journal of Adolescent Health: Official Publication of the Society for Adolescent Medicine</w:t>
      </w:r>
      <w:r w:rsidRPr="00E02B79">
        <w:t xml:space="preserve">, </w:t>
      </w:r>
      <w:r w:rsidRPr="00E02B79">
        <w:rPr>
          <w:i/>
          <w:iCs/>
        </w:rPr>
        <w:t>38</w:t>
      </w:r>
      <w:r w:rsidRPr="00E02B79">
        <w:t>(4), 444.e1-10. https://doi.org/10.1016/j.jadohealth.2005.06.006</w:t>
      </w:r>
    </w:p>
    <w:p w14:paraId="72ADEF3D" w14:textId="77777777" w:rsidR="00453A91" w:rsidRPr="00E02B79" w:rsidRDefault="00453A91" w:rsidP="00453A91">
      <w:pPr>
        <w:pStyle w:val="Bibliography"/>
      </w:pPr>
      <w:r w:rsidRPr="00E02B79">
        <w:lastRenderedPageBreak/>
        <w:t xml:space="preserve">Felitti, V. J., Anda, R. F., Nordenberg, D., Williamson, D. F., Spitz, A. M., Edwards, V., … Marks, J. S. (1998). Relationship of childhood abuse and household dysfunction to many of the leading causes of death in adults. </w:t>
      </w:r>
      <w:r w:rsidRPr="00E02B79">
        <w:rPr>
          <w:i/>
          <w:iCs/>
        </w:rPr>
        <w:t>American Journal of Preventive Medicine</w:t>
      </w:r>
      <w:r w:rsidRPr="00E02B79">
        <w:t xml:space="preserve">, </w:t>
      </w:r>
      <w:r w:rsidRPr="00E02B79">
        <w:rPr>
          <w:i/>
          <w:iCs/>
        </w:rPr>
        <w:t>14</w:t>
      </w:r>
      <w:r w:rsidRPr="00E02B79">
        <w:t>(4), 245–258. https://doi.org/10.1016/S0749-3797(98)00017-8</w:t>
      </w:r>
    </w:p>
    <w:p w14:paraId="15BFE4C8" w14:textId="77777777" w:rsidR="00453A91" w:rsidRPr="00E02B79" w:rsidRDefault="00453A91" w:rsidP="00453A91">
      <w:pPr>
        <w:pStyle w:val="Bibliography"/>
      </w:pPr>
      <w:r w:rsidRPr="00E02B79">
        <w:t xml:space="preserve">Fergusson, D. M., Boden, J. M., &amp; Horwood, L. J. (2009). Tests of causal links between alcohol abuse or dependence and major depression. </w:t>
      </w:r>
      <w:r w:rsidRPr="00E02B79">
        <w:rPr>
          <w:i/>
          <w:iCs/>
        </w:rPr>
        <w:t>Archives of General Psychiatry</w:t>
      </w:r>
      <w:r w:rsidRPr="00E02B79">
        <w:t xml:space="preserve">, </w:t>
      </w:r>
      <w:r w:rsidRPr="00E02B79">
        <w:rPr>
          <w:i/>
          <w:iCs/>
        </w:rPr>
        <w:t>66</w:t>
      </w:r>
      <w:r w:rsidRPr="00E02B79">
        <w:t>(3), 260–266. https://doi.org/10.1001/archgenpsychiatry.2008.543</w:t>
      </w:r>
    </w:p>
    <w:p w14:paraId="7DB89C9A" w14:textId="77777777" w:rsidR="00453A91" w:rsidRPr="00E02B79" w:rsidRDefault="00453A91" w:rsidP="00453A91">
      <w:pPr>
        <w:pStyle w:val="Bibliography"/>
      </w:pPr>
      <w:r w:rsidRPr="00E02B79">
        <w:t xml:space="preserve">Fishbein, M., &amp; Ajzen, I. (2011). </w:t>
      </w:r>
      <w:r w:rsidRPr="00E02B79">
        <w:rPr>
          <w:i/>
          <w:iCs/>
        </w:rPr>
        <w:t>Predicting and Changing Behavior: The Reasoned Action Approach</w:t>
      </w:r>
      <w:r w:rsidRPr="00E02B79">
        <w:t>. Taylor &amp; Francis.</w:t>
      </w:r>
    </w:p>
    <w:p w14:paraId="2E5CB8E2" w14:textId="77777777" w:rsidR="00453A91" w:rsidRPr="00E02B79" w:rsidRDefault="00453A91" w:rsidP="00453A91">
      <w:pPr>
        <w:pStyle w:val="Bibliography"/>
      </w:pPr>
      <w:r w:rsidRPr="00E02B79">
        <w:t xml:space="preserve">Foxcroft, D. R., Ireland, D., Lister-Sharp, D. J., Lowe, G., &amp; Breen, R. (2003). Longer-term primary prevention for alcohol misuse in young people: a systematic review. </w:t>
      </w:r>
      <w:r w:rsidRPr="00E02B79">
        <w:rPr>
          <w:i/>
          <w:iCs/>
        </w:rPr>
        <w:t>Addiction (Abingdon, England)</w:t>
      </w:r>
      <w:r w:rsidRPr="00E02B79">
        <w:t xml:space="preserve">, </w:t>
      </w:r>
      <w:r w:rsidRPr="00E02B79">
        <w:rPr>
          <w:i/>
          <w:iCs/>
        </w:rPr>
        <w:t>98</w:t>
      </w:r>
      <w:r w:rsidRPr="00E02B79">
        <w:t>(4), 397–411.</w:t>
      </w:r>
    </w:p>
    <w:p w14:paraId="362D702C" w14:textId="77777777" w:rsidR="00453A91" w:rsidRPr="00E02B79" w:rsidRDefault="00453A91" w:rsidP="00453A91">
      <w:pPr>
        <w:pStyle w:val="Bibliography"/>
      </w:pPr>
      <w:r w:rsidRPr="00E02B79">
        <w:t xml:space="preserve">Gane, B. (2012). </w:t>
      </w:r>
      <w:r w:rsidRPr="00E02B79">
        <w:rPr>
          <w:i/>
          <w:iCs/>
        </w:rPr>
        <w:t>Valuegenesis II Study 1 - Core Report</w:t>
      </w:r>
      <w:r w:rsidRPr="00E02B79">
        <w:t>. Cooranbong, Australia: Avondale Academic Press.</w:t>
      </w:r>
    </w:p>
    <w:p w14:paraId="0835190F" w14:textId="77777777" w:rsidR="00453A91" w:rsidRPr="00E02B79" w:rsidRDefault="00453A91" w:rsidP="00453A91">
      <w:pPr>
        <w:pStyle w:val="Bibliography"/>
      </w:pPr>
      <w:r w:rsidRPr="00E02B79">
        <w:t xml:space="preserve">Gonçalves, H., Soares, A. L. G., Santos, A. P. G. D., Ribeiro, C. G., Bierhals, I. O., Vieira, L. S., … Menezes, A. M. B. (2016). Adverse childhood experiences and consumption of alcohol, tobacco and illicit drugs among adolescents of a Brazilian birth cohort. </w:t>
      </w:r>
      <w:r w:rsidRPr="00E02B79">
        <w:rPr>
          <w:i/>
          <w:iCs/>
        </w:rPr>
        <w:t>Cadernos De Saude Publica</w:t>
      </w:r>
      <w:r w:rsidRPr="00E02B79">
        <w:t xml:space="preserve">, </w:t>
      </w:r>
      <w:r w:rsidRPr="00E02B79">
        <w:rPr>
          <w:i/>
          <w:iCs/>
        </w:rPr>
        <w:t>32</w:t>
      </w:r>
      <w:r w:rsidRPr="00E02B79">
        <w:t>(10), e00085815. https://doi.org/10.1590/0102-311X00085815</w:t>
      </w:r>
    </w:p>
    <w:p w14:paraId="780F1C74" w14:textId="77777777" w:rsidR="00453A91" w:rsidRPr="00E02B79" w:rsidRDefault="00453A91" w:rsidP="00453A91">
      <w:pPr>
        <w:pStyle w:val="Bibliography"/>
      </w:pPr>
      <w:r w:rsidRPr="00E02B79">
        <w:t xml:space="preserve">Gore, F. M., Bloem, P. J., Patton, G. C., Ferguson, J., Joseph, V., Coffey, C., … Mathers, C. D. (2011). Global burden of disease in young people aged 10–24 years: a systematic </w:t>
      </w:r>
      <w:r w:rsidRPr="00E02B79">
        <w:lastRenderedPageBreak/>
        <w:t xml:space="preserve">analysis. </w:t>
      </w:r>
      <w:r w:rsidRPr="00E02B79">
        <w:rPr>
          <w:i/>
          <w:iCs/>
        </w:rPr>
        <w:t>The Lancet</w:t>
      </w:r>
      <w:r w:rsidRPr="00E02B79">
        <w:t xml:space="preserve">, </w:t>
      </w:r>
      <w:r w:rsidRPr="00E02B79">
        <w:rPr>
          <w:i/>
          <w:iCs/>
        </w:rPr>
        <w:t>377</w:t>
      </w:r>
      <w:r w:rsidRPr="00E02B79">
        <w:t>(9783), 2093–2102. https://doi.org/10.1016/S0140-6736(11)60512-6</w:t>
      </w:r>
    </w:p>
    <w:p w14:paraId="76C37D55" w14:textId="77777777" w:rsidR="00453A91" w:rsidRPr="00E02B79" w:rsidRDefault="00453A91" w:rsidP="00453A91">
      <w:pPr>
        <w:pStyle w:val="Bibliography"/>
      </w:pPr>
      <w:r w:rsidRPr="00E02B79">
        <w:t xml:space="preserve">Harvey, S. A., &amp; McKay, M. T. (2017). Perspectives on adolescent alcohol use and consideration of future consequences: results from a qualitative study. </w:t>
      </w:r>
      <w:r w:rsidRPr="00E02B79">
        <w:rPr>
          <w:i/>
          <w:iCs/>
        </w:rPr>
        <w:t>Child Care in Practice</w:t>
      </w:r>
      <w:r w:rsidRPr="00E02B79">
        <w:t xml:space="preserve">, </w:t>
      </w:r>
      <w:r w:rsidRPr="00E02B79">
        <w:rPr>
          <w:i/>
          <w:iCs/>
        </w:rPr>
        <w:t>23</w:t>
      </w:r>
      <w:r w:rsidRPr="00E02B79">
        <w:t>(1), 104–120. https://doi.org/10.1080/13575279.2015.1126230</w:t>
      </w:r>
    </w:p>
    <w:p w14:paraId="44AC14FF" w14:textId="77777777" w:rsidR="00453A91" w:rsidRPr="00E02B79" w:rsidRDefault="00453A91" w:rsidP="00453A91">
      <w:pPr>
        <w:pStyle w:val="Bibliography"/>
      </w:pPr>
      <w:r w:rsidRPr="00E02B79">
        <w:t xml:space="preserve">Ho, R. (2013). </w:t>
      </w:r>
      <w:r w:rsidRPr="00E02B79">
        <w:rPr>
          <w:i/>
          <w:iCs/>
        </w:rPr>
        <w:t>Handbook of Univariate and Multivariate Data Analysis with IBM SPSS, Second Edition</w:t>
      </w:r>
      <w:r w:rsidRPr="00E02B79">
        <w:t xml:space="preserve"> (2 edition). Boca Raton: Chapman and Hall/CRC.</w:t>
      </w:r>
    </w:p>
    <w:p w14:paraId="18AE62DD" w14:textId="77777777" w:rsidR="00453A91" w:rsidRPr="00E02B79" w:rsidRDefault="00453A91" w:rsidP="00453A91">
      <w:pPr>
        <w:pStyle w:val="Bibliography"/>
      </w:pPr>
      <w:r w:rsidRPr="00E02B79">
        <w:t xml:space="preserve">Hu, L., &amp; Bentler, P. M. (1999). Cutoff criteria for fit indexes in covariance structure analysis: Conventional criteria versus new alternatives. </w:t>
      </w:r>
      <w:r w:rsidRPr="00E02B79">
        <w:rPr>
          <w:i/>
          <w:iCs/>
        </w:rPr>
        <w:t>Structural Equation Modeling: A Multidisciplinary Journal</w:t>
      </w:r>
      <w:r w:rsidRPr="00E02B79">
        <w:t xml:space="preserve">, </w:t>
      </w:r>
      <w:r w:rsidRPr="00E02B79">
        <w:rPr>
          <w:i/>
          <w:iCs/>
        </w:rPr>
        <w:t>6</w:t>
      </w:r>
      <w:r w:rsidRPr="00E02B79">
        <w:t>(1), 1–55. https://doi.org/10.1080/10705519909540118</w:t>
      </w:r>
    </w:p>
    <w:p w14:paraId="75138529" w14:textId="77777777" w:rsidR="00453A91" w:rsidRPr="00E02B79" w:rsidRDefault="00453A91" w:rsidP="00453A91">
      <w:pPr>
        <w:pStyle w:val="Bibliography"/>
      </w:pPr>
      <w:r w:rsidRPr="00E02B79">
        <w:t xml:space="preserve">Jacobus, J., &amp; Tapert, S. F. (2013). Neurotoxic effects of alcohol in adolescence. </w:t>
      </w:r>
      <w:r w:rsidRPr="00E02B79">
        <w:rPr>
          <w:i/>
          <w:iCs/>
        </w:rPr>
        <w:t>Annual Review of Clinical Psychology</w:t>
      </w:r>
      <w:r w:rsidRPr="00E02B79">
        <w:t xml:space="preserve">, </w:t>
      </w:r>
      <w:r w:rsidRPr="00E02B79">
        <w:rPr>
          <w:i/>
          <w:iCs/>
        </w:rPr>
        <w:t>9</w:t>
      </w:r>
      <w:r w:rsidRPr="00E02B79">
        <w:t>, 703–721. https://doi.org/10.1146/annurev-clinpsy-050212-185610</w:t>
      </w:r>
    </w:p>
    <w:p w14:paraId="08E85DAD" w14:textId="77777777" w:rsidR="00453A91" w:rsidRPr="00E02B79" w:rsidRDefault="00453A91" w:rsidP="00453A91">
      <w:pPr>
        <w:pStyle w:val="Bibliography"/>
      </w:pPr>
      <w:r w:rsidRPr="00E02B79">
        <w:t xml:space="preserve">Janssen, M. M., Mathijssen, J. J., van Bon-Martens, M. J., van Oers, H. A., &amp; Garretsen, H. F. (2014). A qualitative exploration of attitudes towards alcohol, and the role of parents and peers of two alcohol-attitude-based segments of the adolescent population. </w:t>
      </w:r>
      <w:r w:rsidRPr="00E02B79">
        <w:rPr>
          <w:i/>
          <w:iCs/>
        </w:rPr>
        <w:t>Substance Abuse Treatment, Prevention, and Policy</w:t>
      </w:r>
      <w:r w:rsidRPr="00E02B79">
        <w:t xml:space="preserve">, </w:t>
      </w:r>
      <w:r w:rsidRPr="00E02B79">
        <w:rPr>
          <w:i/>
          <w:iCs/>
        </w:rPr>
        <w:t>9</w:t>
      </w:r>
      <w:r w:rsidRPr="00E02B79">
        <w:t>, 20. https://doi.org/10.1186/1747-597X-9-20</w:t>
      </w:r>
    </w:p>
    <w:p w14:paraId="555E58FD" w14:textId="77777777" w:rsidR="00453A91" w:rsidRPr="00E02B79" w:rsidRDefault="00453A91" w:rsidP="00453A91">
      <w:pPr>
        <w:pStyle w:val="Bibliography"/>
      </w:pPr>
      <w:r w:rsidRPr="00E02B79">
        <w:t xml:space="preserve">Jöreskog, K. ., &amp; Sörbom, D. (1989). </w:t>
      </w:r>
      <w:r w:rsidRPr="00E02B79">
        <w:rPr>
          <w:i/>
          <w:iCs/>
        </w:rPr>
        <w:t>LISREL 8: A Guide to Program and Applications</w:t>
      </w:r>
      <w:r w:rsidRPr="00E02B79">
        <w:t>. Chicago: SPSS.</w:t>
      </w:r>
    </w:p>
    <w:p w14:paraId="1F88C305" w14:textId="77777777" w:rsidR="00453A91" w:rsidRPr="00E02B79" w:rsidRDefault="00453A91" w:rsidP="00453A91">
      <w:pPr>
        <w:pStyle w:val="Bibliography"/>
      </w:pPr>
      <w:r w:rsidRPr="00E02B79">
        <w:lastRenderedPageBreak/>
        <w:t xml:space="preserve">Kelly, A. B., Toumbourou, J. W., O’Flaherty, M., Patton, G. C., Homel, R., Connor, J. P., &amp; Williams, J. (2011). Family relationship quality and early alcohol use: evidence for gender-specific risk processes. </w:t>
      </w:r>
      <w:r w:rsidRPr="00E02B79">
        <w:rPr>
          <w:i/>
          <w:iCs/>
        </w:rPr>
        <w:t>Journal of Studies on Alcohol and Drugs</w:t>
      </w:r>
      <w:r w:rsidRPr="00E02B79">
        <w:t xml:space="preserve">, </w:t>
      </w:r>
      <w:r w:rsidRPr="00E02B79">
        <w:rPr>
          <w:i/>
          <w:iCs/>
        </w:rPr>
        <w:t>72</w:t>
      </w:r>
      <w:r w:rsidRPr="00E02B79">
        <w:t>(3), 399–407.</w:t>
      </w:r>
    </w:p>
    <w:p w14:paraId="5CAE59E0" w14:textId="77777777" w:rsidR="00453A91" w:rsidRPr="00E02B79" w:rsidRDefault="00453A91" w:rsidP="00453A91">
      <w:pPr>
        <w:pStyle w:val="Bibliography"/>
      </w:pPr>
      <w:r w:rsidRPr="00E02B79">
        <w:t xml:space="preserve">Kline, R. B. (2010). </w:t>
      </w:r>
      <w:r w:rsidRPr="00E02B79">
        <w:rPr>
          <w:i/>
          <w:iCs/>
        </w:rPr>
        <w:t>Principles and Practice of Structural Equation Modeling, Third Edition</w:t>
      </w:r>
      <w:r w:rsidRPr="00E02B79">
        <w:t xml:space="preserve"> (3rd edition). New York: The Guilford Press.</w:t>
      </w:r>
    </w:p>
    <w:p w14:paraId="27BAD605" w14:textId="77777777" w:rsidR="00453A91" w:rsidRPr="00E02B79" w:rsidRDefault="00453A91" w:rsidP="00453A91">
      <w:pPr>
        <w:pStyle w:val="Bibliography"/>
      </w:pPr>
      <w:r w:rsidRPr="00E02B79">
        <w:t xml:space="preserve">Koch, S. F., &amp; McGeary, K. A. (2005). The Effect of Youth Alcohol Initiation on High School Completion. </w:t>
      </w:r>
      <w:r w:rsidRPr="00E02B79">
        <w:rPr>
          <w:i/>
          <w:iCs/>
        </w:rPr>
        <w:t>Economic Inquiry</w:t>
      </w:r>
      <w:r w:rsidRPr="00E02B79">
        <w:t xml:space="preserve">, </w:t>
      </w:r>
      <w:r w:rsidRPr="00E02B79">
        <w:rPr>
          <w:i/>
          <w:iCs/>
        </w:rPr>
        <w:t>43</w:t>
      </w:r>
      <w:r w:rsidRPr="00E02B79">
        <w:t>(4), 750–765. https://doi.org/10.1093/ei/cbi052</w:t>
      </w:r>
    </w:p>
    <w:p w14:paraId="45B14A05" w14:textId="77777777" w:rsidR="00453A91" w:rsidRPr="00E02B79" w:rsidRDefault="00453A91" w:rsidP="00453A91">
      <w:pPr>
        <w:pStyle w:val="Bibliography"/>
      </w:pPr>
      <w:r w:rsidRPr="00E02B79">
        <w:t xml:space="preserve">Kuntsche, E., Wicki, M., Windlin, B., Roberts, C., Gabhainn, S. N., Sluijs, W. van der, … Demetrovics, Z. (2015). Drinking Motives Mediate Cultural Differences but Not Gender Differences in Adolescent Alcohol Use. </w:t>
      </w:r>
      <w:r w:rsidRPr="00E02B79">
        <w:rPr>
          <w:i/>
          <w:iCs/>
        </w:rPr>
        <w:t>Journal of Adolescent Health</w:t>
      </w:r>
      <w:r w:rsidRPr="00E02B79">
        <w:t xml:space="preserve">, </w:t>
      </w:r>
      <w:r w:rsidRPr="00E02B79">
        <w:rPr>
          <w:i/>
          <w:iCs/>
        </w:rPr>
        <w:t>56</w:t>
      </w:r>
      <w:r w:rsidRPr="00E02B79">
        <w:t>(3), 323–329. https://doi.org/10.1016/j.jadohealth.2014.10.267</w:t>
      </w:r>
    </w:p>
    <w:p w14:paraId="3D71713E" w14:textId="77777777" w:rsidR="00453A91" w:rsidRPr="00E02B79" w:rsidRDefault="00453A91" w:rsidP="00453A91">
      <w:pPr>
        <w:pStyle w:val="Bibliography"/>
      </w:pPr>
      <w:r w:rsidRPr="00E02B79">
        <w:t xml:space="preserve">Laflin, M. T., Moore-Hirschl, S., Weis, D. L., &amp; Hayes, B. E. (1994). Use of the Theory of Reasoned Action to Predict Drug and Alcohol Use. </w:t>
      </w:r>
      <w:r w:rsidRPr="00E02B79">
        <w:rPr>
          <w:i/>
          <w:iCs/>
        </w:rPr>
        <w:t>International Journal of the Addictions</w:t>
      </w:r>
      <w:r w:rsidRPr="00E02B79">
        <w:t xml:space="preserve">, </w:t>
      </w:r>
      <w:r w:rsidRPr="00E02B79">
        <w:rPr>
          <w:i/>
          <w:iCs/>
        </w:rPr>
        <w:t>29</w:t>
      </w:r>
      <w:r w:rsidRPr="00E02B79">
        <w:t>(7), 927–940. https://doi.org/10.3109/10826089409047918</w:t>
      </w:r>
    </w:p>
    <w:p w14:paraId="44121FAE" w14:textId="77777777" w:rsidR="00453A91" w:rsidRPr="00E02B79" w:rsidRDefault="00453A91" w:rsidP="00453A91">
      <w:pPr>
        <w:pStyle w:val="Bibliography"/>
      </w:pPr>
      <w:r w:rsidRPr="00E02B79">
        <w:t xml:space="preserve">Laghi, F., Baiocco, R., Lonigro, A., Capacchione, G., &amp; Baumgartner, E. (2012). Family functioning and binge drinking among Italian adolescents. </w:t>
      </w:r>
      <w:r w:rsidRPr="00E02B79">
        <w:rPr>
          <w:i/>
          <w:iCs/>
        </w:rPr>
        <w:t>Journal of Health Psychology</w:t>
      </w:r>
      <w:r w:rsidRPr="00E02B79">
        <w:t xml:space="preserve">, </w:t>
      </w:r>
      <w:r w:rsidRPr="00E02B79">
        <w:rPr>
          <w:i/>
          <w:iCs/>
        </w:rPr>
        <w:t>17</w:t>
      </w:r>
      <w:r w:rsidRPr="00E02B79">
        <w:t>(8), 1132–1141. https://doi.org/10.1177/1359105311430005</w:t>
      </w:r>
    </w:p>
    <w:p w14:paraId="06562CFB" w14:textId="77777777" w:rsidR="00453A91" w:rsidRPr="00E02B79" w:rsidRDefault="00453A91" w:rsidP="00453A91">
      <w:pPr>
        <w:pStyle w:val="Bibliography"/>
      </w:pPr>
      <w:r w:rsidRPr="00E02B79">
        <w:t xml:space="preserve">Leitch, L. (2017). Action steps using ACEs and trauma-informed care: a resilience model. </w:t>
      </w:r>
      <w:r w:rsidRPr="00E02B79">
        <w:rPr>
          <w:i/>
          <w:iCs/>
        </w:rPr>
        <w:t>Health &amp; Justice</w:t>
      </w:r>
      <w:r w:rsidRPr="00E02B79">
        <w:t xml:space="preserve">, </w:t>
      </w:r>
      <w:r w:rsidRPr="00E02B79">
        <w:rPr>
          <w:i/>
          <w:iCs/>
        </w:rPr>
        <w:t>5</w:t>
      </w:r>
      <w:r w:rsidRPr="00E02B79">
        <w:t>. https://doi.org/10.1186/s40352-017-0050-5</w:t>
      </w:r>
    </w:p>
    <w:p w14:paraId="330859B3" w14:textId="77777777" w:rsidR="00453A91" w:rsidRPr="00E02B79" w:rsidRDefault="00453A91" w:rsidP="00453A91">
      <w:pPr>
        <w:pStyle w:val="Bibliography"/>
      </w:pPr>
      <w:r w:rsidRPr="00E02B79">
        <w:lastRenderedPageBreak/>
        <w:t xml:space="preserve">Livingston, M. (2014). Trends in non-drinking among Australian adolescents. </w:t>
      </w:r>
      <w:r w:rsidRPr="00E02B79">
        <w:rPr>
          <w:i/>
          <w:iCs/>
        </w:rPr>
        <w:t>Addiction</w:t>
      </w:r>
      <w:r w:rsidRPr="00E02B79">
        <w:t xml:space="preserve">, </w:t>
      </w:r>
      <w:r w:rsidRPr="00E02B79">
        <w:rPr>
          <w:i/>
          <w:iCs/>
        </w:rPr>
        <w:t>109</w:t>
      </w:r>
      <w:r w:rsidRPr="00E02B79">
        <w:t>(6), 922–929. https://doi.org/10.1111/add.12524</w:t>
      </w:r>
    </w:p>
    <w:p w14:paraId="6265EA90" w14:textId="77777777" w:rsidR="00453A91" w:rsidRPr="00E02B79" w:rsidRDefault="00453A91" w:rsidP="00453A91">
      <w:pPr>
        <w:pStyle w:val="Bibliography"/>
      </w:pPr>
      <w:r w:rsidRPr="00E02B79">
        <w:t xml:space="preserve">Livingston, M. (2015). </w:t>
      </w:r>
      <w:r w:rsidRPr="00E02B79">
        <w:rPr>
          <w:i/>
          <w:iCs/>
        </w:rPr>
        <w:t>Understanding recent trends in australian alcohol consumption</w:t>
      </w:r>
      <w:r w:rsidRPr="00E02B79">
        <w:t>. Canberra: Foundation for Alcohol Research and Education. Retrieved from http://www.fare.org.au/wp-content/uploads/research/Understanding-recent-trends-in-Australian-alcohol-consumption.pdf</w:t>
      </w:r>
    </w:p>
    <w:p w14:paraId="7AE47B8A" w14:textId="77777777" w:rsidR="00453A91" w:rsidRPr="00E02B79" w:rsidRDefault="00453A91" w:rsidP="00453A91">
      <w:pPr>
        <w:pStyle w:val="Bibliography"/>
      </w:pPr>
      <w:r w:rsidRPr="00E02B79">
        <w:t xml:space="preserve">Looze, M. de, Raaijmakers, Q., Bogt, T. ter, Bendtsen, P., Farhat, T., Ferreira, M., … Pickett, W. (2015). Decreases in adolescent weekly alcohol use in Europe and North America: evidence from 28 countries from 2002 to 2010. </w:t>
      </w:r>
      <w:r w:rsidRPr="00E02B79">
        <w:rPr>
          <w:i/>
          <w:iCs/>
        </w:rPr>
        <w:t>European Journal of Public Health</w:t>
      </w:r>
      <w:r w:rsidRPr="00E02B79">
        <w:t xml:space="preserve">, </w:t>
      </w:r>
      <w:r w:rsidRPr="00E02B79">
        <w:rPr>
          <w:i/>
          <w:iCs/>
        </w:rPr>
        <w:t>25</w:t>
      </w:r>
      <w:r w:rsidRPr="00E02B79">
        <w:t>(suppl_2), 69–72. https://doi.org/10.1093/eurpub/ckv031</w:t>
      </w:r>
    </w:p>
    <w:p w14:paraId="2A64462F" w14:textId="77777777" w:rsidR="00453A91" w:rsidRPr="00E02B79" w:rsidRDefault="00453A91" w:rsidP="00453A91">
      <w:pPr>
        <w:pStyle w:val="Bibliography"/>
      </w:pPr>
      <w:r w:rsidRPr="00E02B79">
        <w:t xml:space="preserve">Lorenzo-Blanco, E. I., Schwartz, S. J., Unger, J. B., Zamboanga, B. L., Rosiers, S. E. D., Baezconde-Garbanati, L., … Pattarroyo, M. (2016). Alcohol use among recent immigrant Latino/a youth: acculturation, gender, and the Theory of Reasoned Action. </w:t>
      </w:r>
      <w:r w:rsidRPr="00E02B79">
        <w:rPr>
          <w:i/>
          <w:iCs/>
        </w:rPr>
        <w:t>Ethnicity &amp; Health</w:t>
      </w:r>
      <w:r w:rsidRPr="00E02B79">
        <w:t xml:space="preserve">, </w:t>
      </w:r>
      <w:r w:rsidRPr="00E02B79">
        <w:rPr>
          <w:i/>
          <w:iCs/>
        </w:rPr>
        <w:t>21</w:t>
      </w:r>
      <w:r w:rsidRPr="00E02B79">
        <w:t>(6), 609–627. https://doi.org/10.1080/13557858.2016.1179723</w:t>
      </w:r>
    </w:p>
    <w:p w14:paraId="63E54606" w14:textId="77777777" w:rsidR="00453A91" w:rsidRPr="00E02B79" w:rsidRDefault="00453A91" w:rsidP="00453A91">
      <w:pPr>
        <w:pStyle w:val="Bibliography"/>
      </w:pPr>
      <w:r w:rsidRPr="00E02B79">
        <w:t xml:space="preserve">Marcoux, B., &amp; Shope, J. (1997). Application of the Theory of Planned Behavior to adolescent use and misuse of alcohol. </w:t>
      </w:r>
      <w:r w:rsidRPr="00E02B79">
        <w:rPr>
          <w:i/>
          <w:iCs/>
        </w:rPr>
        <w:t>Health Educ. Res.</w:t>
      </w:r>
      <w:r w:rsidRPr="00E02B79">
        <w:t xml:space="preserve">, </w:t>
      </w:r>
      <w:r w:rsidRPr="00E02B79">
        <w:rPr>
          <w:i/>
          <w:iCs/>
        </w:rPr>
        <w:t>12</w:t>
      </w:r>
      <w:r w:rsidRPr="00E02B79">
        <w:t>. https://doi.org/10.1093/her/12.3.323</w:t>
      </w:r>
    </w:p>
    <w:p w14:paraId="6DBC42EC" w14:textId="77777777" w:rsidR="00453A91" w:rsidRPr="00E02B79" w:rsidRDefault="00453A91" w:rsidP="00453A91">
      <w:pPr>
        <w:pStyle w:val="Bibliography"/>
      </w:pPr>
      <w:r w:rsidRPr="00E02B79">
        <w:t xml:space="preserve">Marsiglia, F. F., Kulis, S., Nieri, T., &amp; Parsai, M. (2005). God Forbid! Substance Use Among Religious and Nonreligious Youth. </w:t>
      </w:r>
      <w:r w:rsidRPr="00E02B79">
        <w:rPr>
          <w:i/>
          <w:iCs/>
        </w:rPr>
        <w:t>The American Journal of Orthopsychiatry</w:t>
      </w:r>
      <w:r w:rsidRPr="00E02B79">
        <w:t xml:space="preserve">, </w:t>
      </w:r>
      <w:r w:rsidRPr="00E02B79">
        <w:rPr>
          <w:i/>
          <w:iCs/>
        </w:rPr>
        <w:t>75</w:t>
      </w:r>
      <w:r w:rsidRPr="00E02B79">
        <w:t>(4), 585–598. https://doi.org/10.1037/0002-9432.75.4.585</w:t>
      </w:r>
    </w:p>
    <w:p w14:paraId="6A604367" w14:textId="77777777" w:rsidR="00453A91" w:rsidRPr="00E02B79" w:rsidRDefault="00453A91" w:rsidP="00453A91">
      <w:pPr>
        <w:pStyle w:val="Bibliography"/>
      </w:pPr>
      <w:r w:rsidRPr="00E02B79">
        <w:lastRenderedPageBreak/>
        <w:t xml:space="preserve">McCambridge, J., McAlaney, J., &amp; Rowe, R. (2011). Adult consequences of late adolescent alcohol consumption: a systematic review of cohort studies. </w:t>
      </w:r>
      <w:r w:rsidRPr="00E02B79">
        <w:rPr>
          <w:i/>
          <w:iCs/>
        </w:rPr>
        <w:t>PLoS Medicine</w:t>
      </w:r>
      <w:r w:rsidRPr="00E02B79">
        <w:t xml:space="preserve">, </w:t>
      </w:r>
      <w:r w:rsidRPr="00E02B79">
        <w:rPr>
          <w:i/>
          <w:iCs/>
        </w:rPr>
        <w:t>8</w:t>
      </w:r>
      <w:r w:rsidRPr="00E02B79">
        <w:t>(2), e1000413. https://doi.org/10.1371/journal.pmed.1000413</w:t>
      </w:r>
    </w:p>
    <w:p w14:paraId="0A06C760" w14:textId="77777777" w:rsidR="00453A91" w:rsidRPr="00E02B79" w:rsidRDefault="00453A91" w:rsidP="00453A91">
      <w:pPr>
        <w:pStyle w:val="Bibliography"/>
      </w:pPr>
      <w:r w:rsidRPr="00E02B79">
        <w:t xml:space="preserve">McQueeny, T., Schweinsburg, B. C., Schweinsburg, A. D., Jacobus, J., Bava, S., Frank, L. R., &amp; Tapert, S. F. (2009). Altered white matter integrity in adolescent binge drinkers. </w:t>
      </w:r>
      <w:r w:rsidRPr="00E02B79">
        <w:rPr>
          <w:i/>
          <w:iCs/>
        </w:rPr>
        <w:t>Alcoholism, Clinical and Experimental Research</w:t>
      </w:r>
      <w:r w:rsidRPr="00E02B79">
        <w:t xml:space="preserve">, </w:t>
      </w:r>
      <w:r w:rsidRPr="00E02B79">
        <w:rPr>
          <w:i/>
          <w:iCs/>
        </w:rPr>
        <w:t>33</w:t>
      </w:r>
      <w:r w:rsidRPr="00E02B79">
        <w:t>(7), 1278–1285. https://doi.org/10.1111/j.1530-0277.2009.00953.x</w:t>
      </w:r>
    </w:p>
    <w:p w14:paraId="411B5224" w14:textId="77777777" w:rsidR="00453A91" w:rsidRPr="00E02B79" w:rsidRDefault="00453A91" w:rsidP="00453A91">
      <w:pPr>
        <w:pStyle w:val="Bibliography"/>
      </w:pPr>
      <w:r w:rsidRPr="00E02B79">
        <w:t xml:space="preserve">Ministerial Association of Seventh-Day. (1988). </w:t>
      </w:r>
      <w:r w:rsidRPr="00E02B79">
        <w:rPr>
          <w:i/>
          <w:iCs/>
        </w:rPr>
        <w:t>Seventh-day Adventists Believe...A Biblical Exposition of 27 Fundamental Doctrines</w:t>
      </w:r>
      <w:r w:rsidRPr="00E02B79">
        <w:t xml:space="preserve"> (First edition). Washington, DC: Review and Herald Publishing Association.</w:t>
      </w:r>
    </w:p>
    <w:p w14:paraId="502B059F" w14:textId="77777777" w:rsidR="00453A91" w:rsidRPr="00E02B79" w:rsidRDefault="00453A91" w:rsidP="00453A91">
      <w:pPr>
        <w:pStyle w:val="Bibliography"/>
      </w:pPr>
      <w:r w:rsidRPr="00E02B79">
        <w:t xml:space="preserve">NHMRC. (2009). </w:t>
      </w:r>
      <w:r w:rsidRPr="00E02B79">
        <w:rPr>
          <w:i/>
          <w:iCs/>
        </w:rPr>
        <w:t>Australian Guidelines to Reduce Health Risks from Drinking Alcohol</w:t>
      </w:r>
      <w:r w:rsidRPr="00E02B79">
        <w:t>. Canberra, Australia: Author. Retrieved from http://www.nhmrc.gov.au/_files_nhmrc/publications/attachments/ds10-alcohol.pdf</w:t>
      </w:r>
    </w:p>
    <w:p w14:paraId="1D8376BC" w14:textId="77777777" w:rsidR="00453A91" w:rsidRPr="00E02B79" w:rsidRDefault="00453A91" w:rsidP="00453A91">
      <w:pPr>
        <w:pStyle w:val="Bibliography"/>
      </w:pPr>
      <w:r w:rsidRPr="00E02B79">
        <w:t xml:space="preserve">Orlich, M. J., Singh, P. N., Sabaté, J., Jaceldo-Siegl, K., Fan, J., Knutsen, S., … Fraser, G. E. (2013). Vegetarian dietary patterns and mortality in Adventist Health Study 2. </w:t>
      </w:r>
      <w:r w:rsidRPr="00E02B79">
        <w:rPr>
          <w:i/>
          <w:iCs/>
        </w:rPr>
        <w:t>JAMA Internal Medicine</w:t>
      </w:r>
      <w:r w:rsidRPr="00E02B79">
        <w:t xml:space="preserve">, </w:t>
      </w:r>
      <w:r w:rsidRPr="00E02B79">
        <w:rPr>
          <w:i/>
          <w:iCs/>
        </w:rPr>
        <w:t>173</w:t>
      </w:r>
      <w:r w:rsidRPr="00E02B79">
        <w:t>(13), 1230–1238. https://doi.org/10.1001/jamainternmed.2013.6473</w:t>
      </w:r>
    </w:p>
    <w:p w14:paraId="576ED932" w14:textId="77777777" w:rsidR="00453A91" w:rsidRPr="00E02B79" w:rsidRDefault="00453A91" w:rsidP="00453A91">
      <w:pPr>
        <w:pStyle w:val="Bibliography"/>
      </w:pPr>
      <w:r w:rsidRPr="00E02B79">
        <w:t xml:space="preserve">Pabian, S., &amp; Vandebosch, H. (2014). Using the theory of planned behaviour to understand cyberbullying: The importance of beliefs for developing interventions. </w:t>
      </w:r>
      <w:r w:rsidRPr="00E02B79">
        <w:rPr>
          <w:i/>
          <w:iCs/>
        </w:rPr>
        <w:t>European Journal of Developmental Psychology</w:t>
      </w:r>
      <w:r w:rsidRPr="00E02B79">
        <w:t xml:space="preserve">, </w:t>
      </w:r>
      <w:r w:rsidRPr="00E02B79">
        <w:rPr>
          <w:i/>
          <w:iCs/>
        </w:rPr>
        <w:t>11</w:t>
      </w:r>
      <w:r w:rsidRPr="00E02B79">
        <w:t>(4), 463–477. https://doi.org/10.1080/17405629.2013.858626</w:t>
      </w:r>
    </w:p>
    <w:p w14:paraId="528F3744" w14:textId="77777777" w:rsidR="00453A91" w:rsidRPr="00E02B79" w:rsidRDefault="00453A91" w:rsidP="00453A91">
      <w:pPr>
        <w:pStyle w:val="Bibliography"/>
      </w:pPr>
      <w:r w:rsidRPr="00E02B79">
        <w:lastRenderedPageBreak/>
        <w:t xml:space="preserve">Pennay, A., Livingston, M., &amp; MacLean, S. (2015). Young people are drinking less: It is time to find out why. </w:t>
      </w:r>
      <w:r w:rsidRPr="00E02B79">
        <w:rPr>
          <w:i/>
          <w:iCs/>
        </w:rPr>
        <w:t>Drug and Alcohol Review</w:t>
      </w:r>
      <w:r w:rsidRPr="00E02B79">
        <w:t xml:space="preserve">, </w:t>
      </w:r>
      <w:r w:rsidRPr="00E02B79">
        <w:rPr>
          <w:i/>
          <w:iCs/>
        </w:rPr>
        <w:t>34</w:t>
      </w:r>
      <w:r w:rsidRPr="00E02B79">
        <w:t>(2), 115–118. https://doi.org/10.1111/dar.12255</w:t>
      </w:r>
    </w:p>
    <w:p w14:paraId="5B481F51" w14:textId="77777777" w:rsidR="00453A91" w:rsidRPr="00E02B79" w:rsidRDefault="00453A91" w:rsidP="00453A91">
      <w:pPr>
        <w:pStyle w:val="Bibliography"/>
      </w:pPr>
      <w:r w:rsidRPr="00E02B79">
        <w:t xml:space="preserve">Preacher, K. J., &amp; Hayes, A. F. (2008). Asymptotic and resampling strategies for assessing and comparing indirect effects in multiple mediator models. </w:t>
      </w:r>
      <w:r w:rsidRPr="00E02B79">
        <w:rPr>
          <w:i/>
          <w:iCs/>
        </w:rPr>
        <w:t>Behavior Research Methods</w:t>
      </w:r>
      <w:r w:rsidRPr="00E02B79">
        <w:t xml:space="preserve">, </w:t>
      </w:r>
      <w:r w:rsidRPr="00E02B79">
        <w:rPr>
          <w:i/>
          <w:iCs/>
        </w:rPr>
        <w:t>40</w:t>
      </w:r>
      <w:r w:rsidRPr="00E02B79">
        <w:t>(3), 879–891.</w:t>
      </w:r>
    </w:p>
    <w:p w14:paraId="78E64AAD" w14:textId="77777777" w:rsidR="00453A91" w:rsidRPr="00E02B79" w:rsidRDefault="00453A91" w:rsidP="00453A91">
      <w:pPr>
        <w:pStyle w:val="Bibliography"/>
      </w:pPr>
      <w:r w:rsidRPr="00E02B79">
        <w:t xml:space="preserve">Ryan, S. M., Jorm, A. F., &amp; Lubman, D. I. (2010). Parenting Factors Associated with Reduced Adolescent Alcohol Use: A Systematic Review of Longitudinal Studies. </w:t>
      </w:r>
      <w:r w:rsidRPr="00E02B79">
        <w:rPr>
          <w:i/>
          <w:iCs/>
        </w:rPr>
        <w:t>Australian &amp; New Zealand Journal of Psychiatry</w:t>
      </w:r>
      <w:r w:rsidRPr="00E02B79">
        <w:t xml:space="preserve">, </w:t>
      </w:r>
      <w:r w:rsidRPr="00E02B79">
        <w:rPr>
          <w:i/>
          <w:iCs/>
        </w:rPr>
        <w:t>44</w:t>
      </w:r>
      <w:r w:rsidRPr="00E02B79">
        <w:t>(9), 774–783. https://doi.org/10.1080/00048674.2010.501759</w:t>
      </w:r>
    </w:p>
    <w:p w14:paraId="35CBD066" w14:textId="77777777" w:rsidR="00453A91" w:rsidRPr="00E02B79" w:rsidRDefault="00453A91" w:rsidP="00453A91">
      <w:pPr>
        <w:pStyle w:val="Bibliography"/>
      </w:pPr>
      <w:r w:rsidRPr="00E02B79">
        <w:t xml:space="preserve">Sinha, J. W., Cnaan, R. A., &amp; Gelles, R. J. (2007). Adolescent risk behaviors and religion: Findings from a national study. </w:t>
      </w:r>
      <w:r w:rsidRPr="00E02B79">
        <w:rPr>
          <w:i/>
          <w:iCs/>
        </w:rPr>
        <w:t>Journal of Adolescence</w:t>
      </w:r>
      <w:r w:rsidRPr="00E02B79">
        <w:t xml:space="preserve">, </w:t>
      </w:r>
      <w:r w:rsidRPr="00E02B79">
        <w:rPr>
          <w:i/>
          <w:iCs/>
        </w:rPr>
        <w:t>30</w:t>
      </w:r>
      <w:r w:rsidRPr="00E02B79">
        <w:t>(2), 231–249. https://doi.org/10.1016/j.adolescence.2006.02.005</w:t>
      </w:r>
    </w:p>
    <w:p w14:paraId="6706B524" w14:textId="77777777" w:rsidR="00453A91" w:rsidRPr="00E02B79" w:rsidRDefault="00453A91" w:rsidP="00453A91">
      <w:pPr>
        <w:pStyle w:val="Bibliography"/>
      </w:pPr>
      <w:r w:rsidRPr="00E02B79">
        <w:t xml:space="preserve">Stoddard, S. A., &amp; Pierce, J. (2018). Alcohol and Marijuana Use and Intentions Among Adolescents: The Role of the Reasoned Action Approach and Positive Future Orientation. </w:t>
      </w:r>
      <w:r w:rsidRPr="00E02B79">
        <w:rPr>
          <w:i/>
          <w:iCs/>
        </w:rPr>
        <w:t>Youth &amp; Society</w:t>
      </w:r>
      <w:r w:rsidRPr="00E02B79">
        <w:t xml:space="preserve">, </w:t>
      </w:r>
      <w:r w:rsidRPr="00E02B79">
        <w:rPr>
          <w:i/>
          <w:iCs/>
        </w:rPr>
        <w:t>50</w:t>
      </w:r>
      <w:r w:rsidRPr="00E02B79">
        <w:t>(6), 758–779. https://doi.org/10.1177/0044118X16671610</w:t>
      </w:r>
    </w:p>
    <w:p w14:paraId="076008FD" w14:textId="77777777" w:rsidR="00453A91" w:rsidRPr="00E02B79" w:rsidRDefault="00453A91" w:rsidP="00453A91">
      <w:pPr>
        <w:pStyle w:val="Bibliography"/>
      </w:pPr>
      <w:r w:rsidRPr="00E02B79">
        <w:t xml:space="preserve">White, &amp; Bariola. (2012). </w:t>
      </w:r>
      <w:r w:rsidRPr="00E02B79">
        <w:rPr>
          <w:i/>
          <w:iCs/>
        </w:rPr>
        <w:t>Australian secondary school students’ use of tobacco, alcohol, and over-the- counter and illicit substances in 2011</w:t>
      </w:r>
      <w:r w:rsidRPr="00E02B79">
        <w:t>. Melbourne: The Cancer Council Victoria. Retrieved from http://www.nationaldrugstrategy.gov.au/internet/drugstrategy/Publishing.nsf/content/BCBF6B2C638E1202CA257ACD0020E35C/$File/National%20Report_FINAL_ASSAD_7.12.pdf</w:t>
      </w:r>
    </w:p>
    <w:p w14:paraId="0A457C66" w14:textId="77777777" w:rsidR="00453A91" w:rsidRPr="00E02B79" w:rsidRDefault="00453A91" w:rsidP="00453A91">
      <w:pPr>
        <w:pStyle w:val="Bibliography"/>
      </w:pPr>
      <w:r w:rsidRPr="00E02B79">
        <w:lastRenderedPageBreak/>
        <w:t xml:space="preserve">White, V. M., Hill, D. J., &amp; Segan, C. J. (1997). Alcohol use among Australian secondary students in 1993. </w:t>
      </w:r>
      <w:r w:rsidRPr="00E02B79">
        <w:rPr>
          <w:i/>
          <w:iCs/>
        </w:rPr>
        <w:t>Drug and Alcohol Review</w:t>
      </w:r>
      <w:r w:rsidRPr="00E02B79">
        <w:t xml:space="preserve">, </w:t>
      </w:r>
      <w:r w:rsidRPr="00E02B79">
        <w:rPr>
          <w:i/>
          <w:iCs/>
        </w:rPr>
        <w:t>16</w:t>
      </w:r>
      <w:r w:rsidRPr="00E02B79">
        <w:t>(2), 113–122. https://doi.org/10.1080/09595239700186401</w:t>
      </w:r>
    </w:p>
    <w:p w14:paraId="26C20828" w14:textId="77777777" w:rsidR="00453A91" w:rsidRPr="00E02B79" w:rsidRDefault="00453A91" w:rsidP="00453A91">
      <w:pPr>
        <w:pStyle w:val="Bibliography"/>
      </w:pPr>
      <w:r w:rsidRPr="00E02B79">
        <w:t xml:space="preserve">Yap, M. B. H., Cheong, T. W. K., Zaravinos-Tsakos, F., Lubman, D. I., &amp; Jorm, A. F. (2017). Modifiable parenting factors associated with adolescent alcohol misuse: a systematic review and meta-analysis of longitudinal studies. </w:t>
      </w:r>
      <w:r w:rsidRPr="00E02B79">
        <w:rPr>
          <w:i/>
          <w:iCs/>
        </w:rPr>
        <w:t>Addiction</w:t>
      </w:r>
      <w:r w:rsidRPr="00E02B79">
        <w:t xml:space="preserve">, </w:t>
      </w:r>
      <w:r w:rsidRPr="00E02B79">
        <w:rPr>
          <w:i/>
          <w:iCs/>
        </w:rPr>
        <w:t>112</w:t>
      </w:r>
      <w:r w:rsidRPr="00E02B79">
        <w:t>(7), 1142–1162. https://doi.org/10.1111/add.13785</w:t>
      </w:r>
    </w:p>
    <w:p w14:paraId="62B3B51A" w14:textId="7CBFBBB9" w:rsidR="00453A91" w:rsidRPr="00453A91" w:rsidRDefault="00453A91" w:rsidP="00453A91">
      <w:pPr>
        <w:rPr>
          <w:rFonts w:eastAsiaTheme="majorEastAsia"/>
        </w:rPr>
      </w:pPr>
      <w:r w:rsidRPr="00E02B79">
        <w:fldChar w:fldCharType="end"/>
      </w:r>
    </w:p>
    <w:sectPr w:rsidR="00453A91" w:rsidRPr="00453A91" w:rsidSect="00A933BD">
      <w:footerReference w:type="default" r:id="rId12"/>
      <w:pgSz w:w="11900" w:h="16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0F5BEF" w14:textId="77777777" w:rsidR="00216E6E" w:rsidRDefault="00216E6E" w:rsidP="0090440C">
      <w:pPr>
        <w:spacing w:line="240" w:lineRule="auto"/>
      </w:pPr>
      <w:r>
        <w:separator/>
      </w:r>
    </w:p>
  </w:endnote>
  <w:endnote w:type="continuationSeparator" w:id="0">
    <w:p w14:paraId="5F637A69" w14:textId="77777777" w:rsidR="00216E6E" w:rsidRDefault="00216E6E" w:rsidP="009044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Helvetica Neue">
    <w:altName w:val="Helvetica Neue"/>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 w:name="Lucida Grande">
    <w:altName w:val="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84389556"/>
      <w:docPartObj>
        <w:docPartGallery w:val="Page Numbers (Bottom of Page)"/>
        <w:docPartUnique/>
      </w:docPartObj>
    </w:sdtPr>
    <w:sdtEndPr>
      <w:rPr>
        <w:rStyle w:val="PageNumber"/>
      </w:rPr>
    </w:sdtEndPr>
    <w:sdtContent>
      <w:p w14:paraId="20C0A9D4" w14:textId="77777777" w:rsidR="00D47A61" w:rsidRDefault="00D47A61" w:rsidP="001A2B33">
        <w:pPr>
          <w:pStyle w:val="Footer"/>
          <w:framePr w:h="413" w:hRule="exact" w:wrap="none" w:vAnchor="text" w:hAnchor="page" w:x="10145" w:y="193"/>
          <w:jc w:val="right"/>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D3FAB9C" w14:textId="77777777" w:rsidR="00D47A61" w:rsidRPr="005375D0" w:rsidRDefault="00D47A61" w:rsidP="00A0791A">
    <w:pPr>
      <w:pStyle w:val="Footer"/>
      <w:jc w:val="right"/>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DA9F59" w14:textId="77777777" w:rsidR="00216E6E" w:rsidRDefault="00216E6E" w:rsidP="0090440C">
      <w:pPr>
        <w:spacing w:line="240" w:lineRule="auto"/>
      </w:pPr>
      <w:r>
        <w:separator/>
      </w:r>
    </w:p>
  </w:footnote>
  <w:footnote w:type="continuationSeparator" w:id="0">
    <w:p w14:paraId="113FD902" w14:textId="77777777" w:rsidR="00216E6E" w:rsidRDefault="00216E6E" w:rsidP="0090440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6B864CE"/>
    <w:multiLevelType w:val="hybridMultilevel"/>
    <w:tmpl w:val="925A0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B6599A"/>
    <w:multiLevelType w:val="hybridMultilevel"/>
    <w:tmpl w:val="F5F8DDA2"/>
    <w:lvl w:ilvl="0" w:tplc="3968B970">
      <w:start w:val="1"/>
      <w:numFmt w:val="decimal"/>
      <w:lvlText w:val="%1."/>
      <w:lvlJc w:val="left"/>
      <w:pPr>
        <w:ind w:left="720" w:hanging="360"/>
      </w:pPr>
      <w:rPr>
        <w:rFonts w:ascii="Trebuchet MS" w:eastAsiaTheme="minorEastAsia" w:hAnsi="Trebuchet MS"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1951DA"/>
    <w:multiLevelType w:val="multilevel"/>
    <w:tmpl w:val="DDEA0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4B3033"/>
    <w:multiLevelType w:val="hybridMultilevel"/>
    <w:tmpl w:val="6FDE2D36"/>
    <w:lvl w:ilvl="0" w:tplc="E2F6922E">
      <w:start w:val="400"/>
      <w:numFmt w:val="bullet"/>
      <w:lvlText w:val="-"/>
      <w:lvlJc w:val="left"/>
      <w:pPr>
        <w:ind w:left="720" w:hanging="360"/>
      </w:pPr>
      <w:rPr>
        <w:rFonts w:ascii="Helvetica" w:eastAsiaTheme="minorEastAsia" w:hAnsi="Helvetica" w:cs="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047347"/>
    <w:multiLevelType w:val="multilevel"/>
    <w:tmpl w:val="68040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6E74CA8"/>
    <w:multiLevelType w:val="hybridMultilevel"/>
    <w:tmpl w:val="F44EE2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0B4FE4"/>
    <w:multiLevelType w:val="hybridMultilevel"/>
    <w:tmpl w:val="48788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901242"/>
    <w:multiLevelType w:val="hybridMultilevel"/>
    <w:tmpl w:val="2DCA0D66"/>
    <w:lvl w:ilvl="0" w:tplc="38CA26A6">
      <w:start w:val="1"/>
      <w:numFmt w:val="bullet"/>
      <w:lvlText w:val="-"/>
      <w:lvlJc w:val="left"/>
      <w:pPr>
        <w:ind w:left="720" w:hanging="360"/>
      </w:pPr>
      <w:rPr>
        <w:rFonts w:ascii="Helvetica" w:eastAsiaTheme="minorEastAsia" w:hAnsi="Helvetica" w:cs="Helvetic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47057F"/>
    <w:multiLevelType w:val="hybridMultilevel"/>
    <w:tmpl w:val="0A44563E"/>
    <w:lvl w:ilvl="0" w:tplc="2B104A0C">
      <w:start w:val="2"/>
      <w:numFmt w:val="bullet"/>
      <w:lvlText w:val="-"/>
      <w:lvlJc w:val="left"/>
      <w:pPr>
        <w:ind w:left="720" w:hanging="360"/>
      </w:pPr>
      <w:rPr>
        <w:rFonts w:ascii="Helvetica" w:eastAsiaTheme="minorEastAsia" w:hAnsi="Helvetic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E367C8"/>
    <w:multiLevelType w:val="hybridMultilevel"/>
    <w:tmpl w:val="3E047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E15B0A"/>
    <w:multiLevelType w:val="hybridMultilevel"/>
    <w:tmpl w:val="9BA493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5F24FA"/>
    <w:multiLevelType w:val="hybridMultilevel"/>
    <w:tmpl w:val="D014101C"/>
    <w:lvl w:ilvl="0" w:tplc="08A4CA4E">
      <w:start w:val="7"/>
      <w:numFmt w:val="bullet"/>
      <w:lvlText w:val="-"/>
      <w:lvlJc w:val="left"/>
      <w:pPr>
        <w:ind w:left="720" w:hanging="360"/>
      </w:pPr>
      <w:rPr>
        <w:rFonts w:ascii="Helvetica" w:eastAsiaTheme="minorEastAsia" w:hAnsi="Helvetic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9B58BF"/>
    <w:multiLevelType w:val="hybridMultilevel"/>
    <w:tmpl w:val="E5408D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CA6D0C"/>
    <w:multiLevelType w:val="hybridMultilevel"/>
    <w:tmpl w:val="9DC03D56"/>
    <w:lvl w:ilvl="0" w:tplc="BE9E37EA">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EB1B8F"/>
    <w:multiLevelType w:val="hybridMultilevel"/>
    <w:tmpl w:val="2B2474A4"/>
    <w:lvl w:ilvl="0" w:tplc="F74E094C">
      <w:start w:val="2"/>
      <w:numFmt w:val="bullet"/>
      <w:lvlText w:val="-"/>
      <w:lvlJc w:val="left"/>
      <w:pPr>
        <w:ind w:left="720" w:hanging="360"/>
      </w:pPr>
      <w:rPr>
        <w:rFonts w:ascii="Helvetica" w:eastAsiaTheme="minorEastAsia" w:hAnsi="Helvetic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1A3949"/>
    <w:multiLevelType w:val="hybridMultilevel"/>
    <w:tmpl w:val="DEC83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192716"/>
    <w:multiLevelType w:val="hybridMultilevel"/>
    <w:tmpl w:val="D1786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0A7DCB"/>
    <w:multiLevelType w:val="hybridMultilevel"/>
    <w:tmpl w:val="282C63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45327B"/>
    <w:multiLevelType w:val="hybridMultilevel"/>
    <w:tmpl w:val="93548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F54C17"/>
    <w:multiLevelType w:val="hybridMultilevel"/>
    <w:tmpl w:val="8FD2D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5A10AA"/>
    <w:multiLevelType w:val="hybridMultilevel"/>
    <w:tmpl w:val="233E52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BF526F"/>
    <w:multiLevelType w:val="hybridMultilevel"/>
    <w:tmpl w:val="AF44530E"/>
    <w:lvl w:ilvl="0" w:tplc="1F1023DA">
      <w:numFmt w:val="bullet"/>
      <w:lvlText w:val="-"/>
      <w:lvlJc w:val="left"/>
      <w:pPr>
        <w:ind w:left="1080" w:hanging="360"/>
      </w:pPr>
      <w:rPr>
        <w:rFonts w:ascii="Helvetica" w:eastAsiaTheme="minorEastAsia" w:hAnsi="Helvetica"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E8E6310"/>
    <w:multiLevelType w:val="hybridMultilevel"/>
    <w:tmpl w:val="D840C0EE"/>
    <w:lvl w:ilvl="0" w:tplc="F8CAE23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9662A9"/>
    <w:multiLevelType w:val="hybridMultilevel"/>
    <w:tmpl w:val="E3B0880C"/>
    <w:lvl w:ilvl="0" w:tplc="61543320">
      <w:start w:val="2"/>
      <w:numFmt w:val="bullet"/>
      <w:lvlText w:val="-"/>
      <w:lvlJc w:val="left"/>
      <w:pPr>
        <w:ind w:left="720" w:hanging="360"/>
      </w:pPr>
      <w:rPr>
        <w:rFonts w:ascii="Helvetica" w:eastAsiaTheme="minorEastAsia" w:hAnsi="Helvetic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A52E47"/>
    <w:multiLevelType w:val="hybridMultilevel"/>
    <w:tmpl w:val="35C2B340"/>
    <w:lvl w:ilvl="0" w:tplc="C3E47E34">
      <w:numFmt w:val="bullet"/>
      <w:lvlText w:val="-"/>
      <w:lvlJc w:val="left"/>
      <w:pPr>
        <w:ind w:left="1080" w:hanging="360"/>
      </w:pPr>
      <w:rPr>
        <w:rFonts w:ascii="Helvetica" w:eastAsiaTheme="minorEastAsia" w:hAnsi="Helvetica"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67C0F81"/>
    <w:multiLevelType w:val="hybridMultilevel"/>
    <w:tmpl w:val="9820B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544BBA"/>
    <w:multiLevelType w:val="hybridMultilevel"/>
    <w:tmpl w:val="E3664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4A2F02"/>
    <w:multiLevelType w:val="hybridMultilevel"/>
    <w:tmpl w:val="4F5E54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E279BD"/>
    <w:multiLevelType w:val="hybridMultilevel"/>
    <w:tmpl w:val="4338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FA63F3"/>
    <w:multiLevelType w:val="multilevel"/>
    <w:tmpl w:val="6A5CE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F54441"/>
    <w:multiLevelType w:val="hybridMultilevel"/>
    <w:tmpl w:val="E2988F82"/>
    <w:lvl w:ilvl="0" w:tplc="A2E47F52">
      <w:start w:val="1"/>
      <w:numFmt w:val="bullet"/>
      <w:lvlText w:val="-"/>
      <w:lvlJc w:val="left"/>
      <w:pPr>
        <w:ind w:left="720" w:hanging="360"/>
      </w:pPr>
      <w:rPr>
        <w:rFonts w:ascii="Helvetica" w:eastAsiaTheme="minorEastAsia" w:hAnsi="Helvetic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7023D7"/>
    <w:multiLevelType w:val="hybridMultilevel"/>
    <w:tmpl w:val="C900B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CE73F0"/>
    <w:multiLevelType w:val="hybridMultilevel"/>
    <w:tmpl w:val="1E283492"/>
    <w:lvl w:ilvl="0" w:tplc="0BA41760">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68242E"/>
    <w:multiLevelType w:val="hybridMultilevel"/>
    <w:tmpl w:val="C074D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064316"/>
    <w:multiLevelType w:val="hybridMultilevel"/>
    <w:tmpl w:val="C2AE40A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6562C5"/>
    <w:multiLevelType w:val="hybridMultilevel"/>
    <w:tmpl w:val="233E52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27690C"/>
    <w:multiLevelType w:val="hybridMultilevel"/>
    <w:tmpl w:val="0ACEC998"/>
    <w:lvl w:ilvl="0" w:tplc="08366898">
      <w:numFmt w:val="bullet"/>
      <w:lvlText w:val="-"/>
      <w:lvlJc w:val="left"/>
      <w:pPr>
        <w:ind w:left="1080" w:hanging="360"/>
      </w:pPr>
      <w:rPr>
        <w:rFonts w:ascii="Helvetica" w:eastAsiaTheme="minorEastAsia" w:hAnsi="Helvetica"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E0224BB"/>
    <w:multiLevelType w:val="hybridMultilevel"/>
    <w:tmpl w:val="921807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626F17"/>
    <w:multiLevelType w:val="hybridMultilevel"/>
    <w:tmpl w:val="68B43AE6"/>
    <w:lvl w:ilvl="0" w:tplc="7A3E09A6">
      <w:start w:val="30"/>
      <w:numFmt w:val="bullet"/>
      <w:lvlText w:val="-"/>
      <w:lvlJc w:val="left"/>
      <w:pPr>
        <w:ind w:left="720" w:hanging="360"/>
      </w:pPr>
      <w:rPr>
        <w:rFonts w:ascii="Helvetica" w:eastAsiaTheme="minorEastAsia" w:hAnsi="Helvetic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EA614AB"/>
    <w:multiLevelType w:val="hybridMultilevel"/>
    <w:tmpl w:val="13888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A82DBA"/>
    <w:multiLevelType w:val="hybridMultilevel"/>
    <w:tmpl w:val="D2300F8C"/>
    <w:lvl w:ilvl="0" w:tplc="7C4AA378">
      <w:start w:val="1"/>
      <w:numFmt w:val="bullet"/>
      <w:lvlText w:val="-"/>
      <w:lvlJc w:val="left"/>
      <w:pPr>
        <w:ind w:left="720" w:hanging="360"/>
      </w:pPr>
      <w:rPr>
        <w:rFonts w:ascii="Helvetica" w:eastAsiaTheme="minorEastAsia" w:hAnsi="Helvetica" w:cs="Helvetic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0A96402"/>
    <w:multiLevelType w:val="hybridMultilevel"/>
    <w:tmpl w:val="A710A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4AB0E43"/>
    <w:multiLevelType w:val="multilevel"/>
    <w:tmpl w:val="C298F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60F5E47"/>
    <w:multiLevelType w:val="hybridMultilevel"/>
    <w:tmpl w:val="1862E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7DB56B4"/>
    <w:multiLevelType w:val="hybridMultilevel"/>
    <w:tmpl w:val="FD3CA5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1E5853"/>
    <w:multiLevelType w:val="multilevel"/>
    <w:tmpl w:val="4A2CD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DA04700"/>
    <w:multiLevelType w:val="hybridMultilevel"/>
    <w:tmpl w:val="34983D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E7367A3"/>
    <w:multiLevelType w:val="hybridMultilevel"/>
    <w:tmpl w:val="58C8487E"/>
    <w:lvl w:ilvl="0" w:tplc="D1BA488A">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3"/>
  </w:num>
  <w:num w:numId="4">
    <w:abstractNumId w:val="17"/>
  </w:num>
  <w:num w:numId="5">
    <w:abstractNumId w:val="21"/>
  </w:num>
  <w:num w:numId="6">
    <w:abstractNumId w:val="11"/>
  </w:num>
  <w:num w:numId="7">
    <w:abstractNumId w:val="41"/>
  </w:num>
  <w:num w:numId="8">
    <w:abstractNumId w:val="20"/>
  </w:num>
  <w:num w:numId="9">
    <w:abstractNumId w:val="8"/>
  </w:num>
  <w:num w:numId="10">
    <w:abstractNumId w:val="28"/>
  </w:num>
  <w:num w:numId="11">
    <w:abstractNumId w:val="30"/>
  </w:num>
  <w:num w:numId="12">
    <w:abstractNumId w:val="5"/>
  </w:num>
  <w:num w:numId="13">
    <w:abstractNumId w:val="0"/>
  </w:num>
  <w:num w:numId="14">
    <w:abstractNumId w:val="12"/>
  </w:num>
  <w:num w:numId="15">
    <w:abstractNumId w:val="46"/>
  </w:num>
  <w:num w:numId="16">
    <w:abstractNumId w:val="1"/>
  </w:num>
  <w:num w:numId="17">
    <w:abstractNumId w:val="45"/>
  </w:num>
  <w:num w:numId="18">
    <w:abstractNumId w:val="48"/>
  </w:num>
  <w:num w:numId="19">
    <w:abstractNumId w:val="34"/>
  </w:num>
  <w:num w:numId="20">
    <w:abstractNumId w:val="44"/>
  </w:num>
  <w:num w:numId="21">
    <w:abstractNumId w:val="49"/>
  </w:num>
  <w:num w:numId="22">
    <w:abstractNumId w:val="47"/>
  </w:num>
  <w:num w:numId="23">
    <w:abstractNumId w:val="40"/>
  </w:num>
  <w:num w:numId="24">
    <w:abstractNumId w:val="43"/>
  </w:num>
  <w:num w:numId="25">
    <w:abstractNumId w:val="7"/>
  </w:num>
  <w:num w:numId="26">
    <w:abstractNumId w:val="19"/>
  </w:num>
  <w:num w:numId="27">
    <w:abstractNumId w:val="35"/>
  </w:num>
  <w:num w:numId="28">
    <w:abstractNumId w:val="33"/>
  </w:num>
  <w:num w:numId="29">
    <w:abstractNumId w:val="10"/>
  </w:num>
  <w:num w:numId="30">
    <w:abstractNumId w:val="16"/>
  </w:num>
  <w:num w:numId="31">
    <w:abstractNumId w:val="32"/>
  </w:num>
  <w:num w:numId="32">
    <w:abstractNumId w:val="25"/>
  </w:num>
  <w:num w:numId="33">
    <w:abstractNumId w:val="18"/>
  </w:num>
  <w:num w:numId="34">
    <w:abstractNumId w:val="13"/>
  </w:num>
  <w:num w:numId="35">
    <w:abstractNumId w:val="9"/>
  </w:num>
  <w:num w:numId="36">
    <w:abstractNumId w:val="42"/>
  </w:num>
  <w:num w:numId="37">
    <w:abstractNumId w:val="26"/>
  </w:num>
  <w:num w:numId="38">
    <w:abstractNumId w:val="23"/>
  </w:num>
  <w:num w:numId="39">
    <w:abstractNumId w:val="38"/>
  </w:num>
  <w:num w:numId="40">
    <w:abstractNumId w:val="36"/>
  </w:num>
  <w:num w:numId="41">
    <w:abstractNumId w:val="24"/>
  </w:num>
  <w:num w:numId="42">
    <w:abstractNumId w:val="15"/>
  </w:num>
  <w:num w:numId="43">
    <w:abstractNumId w:val="2"/>
  </w:num>
  <w:num w:numId="44">
    <w:abstractNumId w:val="31"/>
  </w:num>
  <w:num w:numId="45">
    <w:abstractNumId w:val="14"/>
  </w:num>
  <w:num w:numId="46">
    <w:abstractNumId w:val="27"/>
  </w:num>
  <w:num w:numId="47">
    <w:abstractNumId w:val="39"/>
  </w:num>
  <w:num w:numId="48">
    <w:abstractNumId w:val="29"/>
  </w:num>
  <w:num w:numId="49">
    <w:abstractNumId w:val="37"/>
  </w:num>
  <w:num w:numId="5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78F"/>
    <w:rsid w:val="00000979"/>
    <w:rsid w:val="00000B29"/>
    <w:rsid w:val="00000F04"/>
    <w:rsid w:val="00001C4A"/>
    <w:rsid w:val="000022F5"/>
    <w:rsid w:val="0000276A"/>
    <w:rsid w:val="00003933"/>
    <w:rsid w:val="00003EA3"/>
    <w:rsid w:val="000049EE"/>
    <w:rsid w:val="00006374"/>
    <w:rsid w:val="000075D2"/>
    <w:rsid w:val="00010713"/>
    <w:rsid w:val="00011209"/>
    <w:rsid w:val="00011BEC"/>
    <w:rsid w:val="0001271A"/>
    <w:rsid w:val="00012DAD"/>
    <w:rsid w:val="0001437A"/>
    <w:rsid w:val="00014649"/>
    <w:rsid w:val="0001517A"/>
    <w:rsid w:val="0001520E"/>
    <w:rsid w:val="00016236"/>
    <w:rsid w:val="00016423"/>
    <w:rsid w:val="00020BB8"/>
    <w:rsid w:val="00020D8B"/>
    <w:rsid w:val="00021644"/>
    <w:rsid w:val="00023CDF"/>
    <w:rsid w:val="00023DA2"/>
    <w:rsid w:val="00024278"/>
    <w:rsid w:val="000253CF"/>
    <w:rsid w:val="00025A0D"/>
    <w:rsid w:val="00026379"/>
    <w:rsid w:val="00026A19"/>
    <w:rsid w:val="00026A2D"/>
    <w:rsid w:val="00027875"/>
    <w:rsid w:val="00030801"/>
    <w:rsid w:val="00030CA1"/>
    <w:rsid w:val="00030FCC"/>
    <w:rsid w:val="000310CC"/>
    <w:rsid w:val="000310F2"/>
    <w:rsid w:val="000325CC"/>
    <w:rsid w:val="00036E27"/>
    <w:rsid w:val="00037978"/>
    <w:rsid w:val="0004154D"/>
    <w:rsid w:val="000420C3"/>
    <w:rsid w:val="00042497"/>
    <w:rsid w:val="00042F1B"/>
    <w:rsid w:val="000430A7"/>
    <w:rsid w:val="00043293"/>
    <w:rsid w:val="00043340"/>
    <w:rsid w:val="000449FA"/>
    <w:rsid w:val="00044DC4"/>
    <w:rsid w:val="000455E8"/>
    <w:rsid w:val="00045D5C"/>
    <w:rsid w:val="00045F61"/>
    <w:rsid w:val="00046B45"/>
    <w:rsid w:val="00050516"/>
    <w:rsid w:val="00051646"/>
    <w:rsid w:val="00051949"/>
    <w:rsid w:val="00051F01"/>
    <w:rsid w:val="00052A56"/>
    <w:rsid w:val="00052DCD"/>
    <w:rsid w:val="000533F8"/>
    <w:rsid w:val="000535F7"/>
    <w:rsid w:val="00053FDD"/>
    <w:rsid w:val="000542AD"/>
    <w:rsid w:val="000548BA"/>
    <w:rsid w:val="0005517B"/>
    <w:rsid w:val="0005678F"/>
    <w:rsid w:val="00056A3F"/>
    <w:rsid w:val="00056C73"/>
    <w:rsid w:val="00056DC8"/>
    <w:rsid w:val="0005720D"/>
    <w:rsid w:val="000578E0"/>
    <w:rsid w:val="000601E9"/>
    <w:rsid w:val="000618AB"/>
    <w:rsid w:val="00062C0F"/>
    <w:rsid w:val="00063377"/>
    <w:rsid w:val="00063518"/>
    <w:rsid w:val="000637D2"/>
    <w:rsid w:val="00063E35"/>
    <w:rsid w:val="00063E7A"/>
    <w:rsid w:val="00064E46"/>
    <w:rsid w:val="0006539F"/>
    <w:rsid w:val="00067231"/>
    <w:rsid w:val="0006759F"/>
    <w:rsid w:val="00067E74"/>
    <w:rsid w:val="00070D78"/>
    <w:rsid w:val="00070EBE"/>
    <w:rsid w:val="0007220E"/>
    <w:rsid w:val="000736CE"/>
    <w:rsid w:val="00076EBF"/>
    <w:rsid w:val="00076F2B"/>
    <w:rsid w:val="0007732B"/>
    <w:rsid w:val="000775DA"/>
    <w:rsid w:val="0008008B"/>
    <w:rsid w:val="00080216"/>
    <w:rsid w:val="000803A2"/>
    <w:rsid w:val="00080E1E"/>
    <w:rsid w:val="00081119"/>
    <w:rsid w:val="0008114D"/>
    <w:rsid w:val="0008390B"/>
    <w:rsid w:val="00083B65"/>
    <w:rsid w:val="00084258"/>
    <w:rsid w:val="00084B10"/>
    <w:rsid w:val="0008541C"/>
    <w:rsid w:val="00085A11"/>
    <w:rsid w:val="00085AB1"/>
    <w:rsid w:val="00085DB7"/>
    <w:rsid w:val="00086297"/>
    <w:rsid w:val="00086E08"/>
    <w:rsid w:val="00090DB1"/>
    <w:rsid w:val="0009102F"/>
    <w:rsid w:val="000912B3"/>
    <w:rsid w:val="00092242"/>
    <w:rsid w:val="00093164"/>
    <w:rsid w:val="0009439B"/>
    <w:rsid w:val="000945E2"/>
    <w:rsid w:val="00094933"/>
    <w:rsid w:val="000960C5"/>
    <w:rsid w:val="00097290"/>
    <w:rsid w:val="0009731D"/>
    <w:rsid w:val="00097642"/>
    <w:rsid w:val="000978FF"/>
    <w:rsid w:val="00097D66"/>
    <w:rsid w:val="00097F9E"/>
    <w:rsid w:val="000A0772"/>
    <w:rsid w:val="000A1310"/>
    <w:rsid w:val="000A1840"/>
    <w:rsid w:val="000A1F49"/>
    <w:rsid w:val="000A2759"/>
    <w:rsid w:val="000A2D12"/>
    <w:rsid w:val="000A35CB"/>
    <w:rsid w:val="000A3732"/>
    <w:rsid w:val="000A5073"/>
    <w:rsid w:val="000A53C6"/>
    <w:rsid w:val="000A5ABC"/>
    <w:rsid w:val="000A5E1E"/>
    <w:rsid w:val="000A6757"/>
    <w:rsid w:val="000A76F2"/>
    <w:rsid w:val="000B101C"/>
    <w:rsid w:val="000B1285"/>
    <w:rsid w:val="000B2E0D"/>
    <w:rsid w:val="000B2F05"/>
    <w:rsid w:val="000B3B31"/>
    <w:rsid w:val="000B3BF2"/>
    <w:rsid w:val="000B3C9B"/>
    <w:rsid w:val="000B48CE"/>
    <w:rsid w:val="000B5207"/>
    <w:rsid w:val="000B5613"/>
    <w:rsid w:val="000B563A"/>
    <w:rsid w:val="000B6046"/>
    <w:rsid w:val="000B6487"/>
    <w:rsid w:val="000B6688"/>
    <w:rsid w:val="000B6926"/>
    <w:rsid w:val="000B703A"/>
    <w:rsid w:val="000B70EF"/>
    <w:rsid w:val="000B78AF"/>
    <w:rsid w:val="000B7AC1"/>
    <w:rsid w:val="000C0285"/>
    <w:rsid w:val="000C03ED"/>
    <w:rsid w:val="000C05FA"/>
    <w:rsid w:val="000C0680"/>
    <w:rsid w:val="000C068F"/>
    <w:rsid w:val="000C1613"/>
    <w:rsid w:val="000C2321"/>
    <w:rsid w:val="000C4401"/>
    <w:rsid w:val="000C4F65"/>
    <w:rsid w:val="000C4F8F"/>
    <w:rsid w:val="000C4FE3"/>
    <w:rsid w:val="000C5F4D"/>
    <w:rsid w:val="000C6602"/>
    <w:rsid w:val="000C6875"/>
    <w:rsid w:val="000C6EE5"/>
    <w:rsid w:val="000C6F88"/>
    <w:rsid w:val="000C70A7"/>
    <w:rsid w:val="000C7D66"/>
    <w:rsid w:val="000D1041"/>
    <w:rsid w:val="000D1A68"/>
    <w:rsid w:val="000D2225"/>
    <w:rsid w:val="000D2291"/>
    <w:rsid w:val="000D2D9F"/>
    <w:rsid w:val="000D34FC"/>
    <w:rsid w:val="000D3F1F"/>
    <w:rsid w:val="000D422A"/>
    <w:rsid w:val="000D42C8"/>
    <w:rsid w:val="000D4659"/>
    <w:rsid w:val="000D4D50"/>
    <w:rsid w:val="000D515F"/>
    <w:rsid w:val="000D748B"/>
    <w:rsid w:val="000D77C7"/>
    <w:rsid w:val="000E1372"/>
    <w:rsid w:val="000E18D4"/>
    <w:rsid w:val="000E2CC8"/>
    <w:rsid w:val="000E44C8"/>
    <w:rsid w:val="000E45DB"/>
    <w:rsid w:val="000E52BD"/>
    <w:rsid w:val="000E6916"/>
    <w:rsid w:val="000F0413"/>
    <w:rsid w:val="000F07B1"/>
    <w:rsid w:val="000F135E"/>
    <w:rsid w:val="000F1706"/>
    <w:rsid w:val="000F2012"/>
    <w:rsid w:val="000F2F99"/>
    <w:rsid w:val="000F3000"/>
    <w:rsid w:val="000F3E09"/>
    <w:rsid w:val="000F5F61"/>
    <w:rsid w:val="000F78BD"/>
    <w:rsid w:val="00101D1F"/>
    <w:rsid w:val="0010207C"/>
    <w:rsid w:val="00102349"/>
    <w:rsid w:val="00103D5A"/>
    <w:rsid w:val="00104A10"/>
    <w:rsid w:val="001051DC"/>
    <w:rsid w:val="0010669C"/>
    <w:rsid w:val="00106913"/>
    <w:rsid w:val="00106965"/>
    <w:rsid w:val="00106AA1"/>
    <w:rsid w:val="001072AB"/>
    <w:rsid w:val="00110F9E"/>
    <w:rsid w:val="00112570"/>
    <w:rsid w:val="00112A6A"/>
    <w:rsid w:val="00113F72"/>
    <w:rsid w:val="00114E0E"/>
    <w:rsid w:val="00115C4B"/>
    <w:rsid w:val="00115EC9"/>
    <w:rsid w:val="001167B5"/>
    <w:rsid w:val="00117790"/>
    <w:rsid w:val="00117E80"/>
    <w:rsid w:val="001207C5"/>
    <w:rsid w:val="00120983"/>
    <w:rsid w:val="00120C26"/>
    <w:rsid w:val="00121382"/>
    <w:rsid w:val="00121714"/>
    <w:rsid w:val="001219A6"/>
    <w:rsid w:val="00121CA3"/>
    <w:rsid w:val="001239A3"/>
    <w:rsid w:val="00124385"/>
    <w:rsid w:val="00125166"/>
    <w:rsid w:val="00125946"/>
    <w:rsid w:val="00125B35"/>
    <w:rsid w:val="00125D30"/>
    <w:rsid w:val="00125F6D"/>
    <w:rsid w:val="00126489"/>
    <w:rsid w:val="00126A59"/>
    <w:rsid w:val="001337C4"/>
    <w:rsid w:val="00133D11"/>
    <w:rsid w:val="0013423D"/>
    <w:rsid w:val="00134B52"/>
    <w:rsid w:val="00134F47"/>
    <w:rsid w:val="00135998"/>
    <w:rsid w:val="00136347"/>
    <w:rsid w:val="00136EBB"/>
    <w:rsid w:val="0014001F"/>
    <w:rsid w:val="001405B9"/>
    <w:rsid w:val="00140F1B"/>
    <w:rsid w:val="00141363"/>
    <w:rsid w:val="0014138A"/>
    <w:rsid w:val="00141CFE"/>
    <w:rsid w:val="0014229D"/>
    <w:rsid w:val="00142CCD"/>
    <w:rsid w:val="00143106"/>
    <w:rsid w:val="00143C8B"/>
    <w:rsid w:val="00143F63"/>
    <w:rsid w:val="001441BB"/>
    <w:rsid w:val="001453FB"/>
    <w:rsid w:val="00146BE9"/>
    <w:rsid w:val="00147309"/>
    <w:rsid w:val="00147599"/>
    <w:rsid w:val="001500C7"/>
    <w:rsid w:val="00150975"/>
    <w:rsid w:val="00153313"/>
    <w:rsid w:val="00153374"/>
    <w:rsid w:val="00153588"/>
    <w:rsid w:val="0015443A"/>
    <w:rsid w:val="0015447E"/>
    <w:rsid w:val="00155A7A"/>
    <w:rsid w:val="001573F5"/>
    <w:rsid w:val="001577FD"/>
    <w:rsid w:val="001607E6"/>
    <w:rsid w:val="00162658"/>
    <w:rsid w:val="00162E86"/>
    <w:rsid w:val="001631C8"/>
    <w:rsid w:val="00164248"/>
    <w:rsid w:val="00164273"/>
    <w:rsid w:val="00164458"/>
    <w:rsid w:val="00164769"/>
    <w:rsid w:val="00165AB3"/>
    <w:rsid w:val="001671F4"/>
    <w:rsid w:val="001676E4"/>
    <w:rsid w:val="00167FAC"/>
    <w:rsid w:val="001706D6"/>
    <w:rsid w:val="00170863"/>
    <w:rsid w:val="00171B81"/>
    <w:rsid w:val="00171B91"/>
    <w:rsid w:val="00172AF7"/>
    <w:rsid w:val="001735C3"/>
    <w:rsid w:val="001738C1"/>
    <w:rsid w:val="001739F7"/>
    <w:rsid w:val="0017408A"/>
    <w:rsid w:val="00174118"/>
    <w:rsid w:val="001742AC"/>
    <w:rsid w:val="00174950"/>
    <w:rsid w:val="0017525F"/>
    <w:rsid w:val="0017575D"/>
    <w:rsid w:val="00175AEF"/>
    <w:rsid w:val="00175FDC"/>
    <w:rsid w:val="00176357"/>
    <w:rsid w:val="00176F58"/>
    <w:rsid w:val="0017760F"/>
    <w:rsid w:val="001802CF"/>
    <w:rsid w:val="001807F2"/>
    <w:rsid w:val="00180BDD"/>
    <w:rsid w:val="00181464"/>
    <w:rsid w:val="00181C61"/>
    <w:rsid w:val="00181E92"/>
    <w:rsid w:val="00182145"/>
    <w:rsid w:val="00182465"/>
    <w:rsid w:val="001824F7"/>
    <w:rsid w:val="001827C3"/>
    <w:rsid w:val="001833EB"/>
    <w:rsid w:val="0018355E"/>
    <w:rsid w:val="001868E8"/>
    <w:rsid w:val="00186BA0"/>
    <w:rsid w:val="0018795A"/>
    <w:rsid w:val="00190258"/>
    <w:rsid w:val="0019075B"/>
    <w:rsid w:val="00190D37"/>
    <w:rsid w:val="00190F82"/>
    <w:rsid w:val="0019186F"/>
    <w:rsid w:val="00193945"/>
    <w:rsid w:val="00193CC5"/>
    <w:rsid w:val="00193D6C"/>
    <w:rsid w:val="00193E03"/>
    <w:rsid w:val="00194C4A"/>
    <w:rsid w:val="001956D3"/>
    <w:rsid w:val="00195973"/>
    <w:rsid w:val="00195E36"/>
    <w:rsid w:val="00195FC5"/>
    <w:rsid w:val="0019615F"/>
    <w:rsid w:val="00196AAF"/>
    <w:rsid w:val="001A01EB"/>
    <w:rsid w:val="001A0802"/>
    <w:rsid w:val="001A0C04"/>
    <w:rsid w:val="001A2B33"/>
    <w:rsid w:val="001A3233"/>
    <w:rsid w:val="001A32D4"/>
    <w:rsid w:val="001A3ACB"/>
    <w:rsid w:val="001A417E"/>
    <w:rsid w:val="001A4A68"/>
    <w:rsid w:val="001A57AA"/>
    <w:rsid w:val="001A5CC1"/>
    <w:rsid w:val="001A672B"/>
    <w:rsid w:val="001A708E"/>
    <w:rsid w:val="001A7215"/>
    <w:rsid w:val="001A7D62"/>
    <w:rsid w:val="001B00D8"/>
    <w:rsid w:val="001B0C0E"/>
    <w:rsid w:val="001B1505"/>
    <w:rsid w:val="001B1540"/>
    <w:rsid w:val="001B2B19"/>
    <w:rsid w:val="001B4769"/>
    <w:rsid w:val="001B4B2C"/>
    <w:rsid w:val="001B4ED2"/>
    <w:rsid w:val="001B5A54"/>
    <w:rsid w:val="001B6A00"/>
    <w:rsid w:val="001B7874"/>
    <w:rsid w:val="001C0B18"/>
    <w:rsid w:val="001C1772"/>
    <w:rsid w:val="001C1D4A"/>
    <w:rsid w:val="001C2239"/>
    <w:rsid w:val="001C3782"/>
    <w:rsid w:val="001C449B"/>
    <w:rsid w:val="001C4987"/>
    <w:rsid w:val="001C5525"/>
    <w:rsid w:val="001C5B4D"/>
    <w:rsid w:val="001C60B3"/>
    <w:rsid w:val="001C685E"/>
    <w:rsid w:val="001C6B48"/>
    <w:rsid w:val="001C78DF"/>
    <w:rsid w:val="001C7EE1"/>
    <w:rsid w:val="001D045B"/>
    <w:rsid w:val="001D1220"/>
    <w:rsid w:val="001D1E5F"/>
    <w:rsid w:val="001D24CB"/>
    <w:rsid w:val="001D38AB"/>
    <w:rsid w:val="001D3908"/>
    <w:rsid w:val="001D51CB"/>
    <w:rsid w:val="001D529C"/>
    <w:rsid w:val="001D6F92"/>
    <w:rsid w:val="001E0CFA"/>
    <w:rsid w:val="001E0D38"/>
    <w:rsid w:val="001E10D4"/>
    <w:rsid w:val="001E2D3E"/>
    <w:rsid w:val="001E387B"/>
    <w:rsid w:val="001E3C55"/>
    <w:rsid w:val="001E4619"/>
    <w:rsid w:val="001E4B61"/>
    <w:rsid w:val="001E4B99"/>
    <w:rsid w:val="001E501F"/>
    <w:rsid w:val="001E61DC"/>
    <w:rsid w:val="001E643B"/>
    <w:rsid w:val="001E6D3F"/>
    <w:rsid w:val="001E6F8F"/>
    <w:rsid w:val="001E771C"/>
    <w:rsid w:val="001F04A0"/>
    <w:rsid w:val="001F14F1"/>
    <w:rsid w:val="001F295C"/>
    <w:rsid w:val="001F39AB"/>
    <w:rsid w:val="001F3AF2"/>
    <w:rsid w:val="001F4574"/>
    <w:rsid w:val="001F4EAC"/>
    <w:rsid w:val="001F5269"/>
    <w:rsid w:val="001F5BA6"/>
    <w:rsid w:val="00200CD4"/>
    <w:rsid w:val="00201AE9"/>
    <w:rsid w:val="00202C5B"/>
    <w:rsid w:val="002047D6"/>
    <w:rsid w:val="002047F3"/>
    <w:rsid w:val="00204B3C"/>
    <w:rsid w:val="00204D32"/>
    <w:rsid w:val="00204FB3"/>
    <w:rsid w:val="00205741"/>
    <w:rsid w:val="00206B48"/>
    <w:rsid w:val="00207143"/>
    <w:rsid w:val="00207877"/>
    <w:rsid w:val="00211A01"/>
    <w:rsid w:val="00211D0F"/>
    <w:rsid w:val="00211FDB"/>
    <w:rsid w:val="00212715"/>
    <w:rsid w:val="00212785"/>
    <w:rsid w:val="002128C5"/>
    <w:rsid w:val="00213CCB"/>
    <w:rsid w:val="002156EE"/>
    <w:rsid w:val="00216386"/>
    <w:rsid w:val="00216E6E"/>
    <w:rsid w:val="0021752A"/>
    <w:rsid w:val="00220DFF"/>
    <w:rsid w:val="00221698"/>
    <w:rsid w:val="00221923"/>
    <w:rsid w:val="002233D9"/>
    <w:rsid w:val="00223D3E"/>
    <w:rsid w:val="0022496C"/>
    <w:rsid w:val="00225097"/>
    <w:rsid w:val="002270E4"/>
    <w:rsid w:val="0022747C"/>
    <w:rsid w:val="002324CD"/>
    <w:rsid w:val="00232DB6"/>
    <w:rsid w:val="0023467B"/>
    <w:rsid w:val="00234701"/>
    <w:rsid w:val="00234A8A"/>
    <w:rsid w:val="00234B43"/>
    <w:rsid w:val="00234FC5"/>
    <w:rsid w:val="002354A7"/>
    <w:rsid w:val="0023796A"/>
    <w:rsid w:val="00240F9F"/>
    <w:rsid w:val="00241185"/>
    <w:rsid w:val="00242DCF"/>
    <w:rsid w:val="00243389"/>
    <w:rsid w:val="002434BE"/>
    <w:rsid w:val="00243D7F"/>
    <w:rsid w:val="00244FE4"/>
    <w:rsid w:val="00246D22"/>
    <w:rsid w:val="00247495"/>
    <w:rsid w:val="00247D9B"/>
    <w:rsid w:val="002501ED"/>
    <w:rsid w:val="00250D61"/>
    <w:rsid w:val="0025147E"/>
    <w:rsid w:val="0025161E"/>
    <w:rsid w:val="002517A3"/>
    <w:rsid w:val="002517AE"/>
    <w:rsid w:val="00252325"/>
    <w:rsid w:val="002535CD"/>
    <w:rsid w:val="00254D5E"/>
    <w:rsid w:val="00255680"/>
    <w:rsid w:val="00256520"/>
    <w:rsid w:val="00257172"/>
    <w:rsid w:val="00257623"/>
    <w:rsid w:val="00261532"/>
    <w:rsid w:val="00261F9B"/>
    <w:rsid w:val="00262520"/>
    <w:rsid w:val="00262648"/>
    <w:rsid w:val="00262C99"/>
    <w:rsid w:val="0026491D"/>
    <w:rsid w:val="00264EE4"/>
    <w:rsid w:val="00265288"/>
    <w:rsid w:val="0026551A"/>
    <w:rsid w:val="0026555E"/>
    <w:rsid w:val="00265C04"/>
    <w:rsid w:val="0026731D"/>
    <w:rsid w:val="00270F5A"/>
    <w:rsid w:val="00272726"/>
    <w:rsid w:val="00272D9A"/>
    <w:rsid w:val="00272EBC"/>
    <w:rsid w:val="00273801"/>
    <w:rsid w:val="00273CE7"/>
    <w:rsid w:val="0027456A"/>
    <w:rsid w:val="00274778"/>
    <w:rsid w:val="00274C1C"/>
    <w:rsid w:val="00276EA0"/>
    <w:rsid w:val="00280557"/>
    <w:rsid w:val="00280DDF"/>
    <w:rsid w:val="00281578"/>
    <w:rsid w:val="00281758"/>
    <w:rsid w:val="002817D2"/>
    <w:rsid w:val="00281CAB"/>
    <w:rsid w:val="0028250B"/>
    <w:rsid w:val="00282978"/>
    <w:rsid w:val="00282C36"/>
    <w:rsid w:val="002831CA"/>
    <w:rsid w:val="00283536"/>
    <w:rsid w:val="00284756"/>
    <w:rsid w:val="00284A39"/>
    <w:rsid w:val="00285421"/>
    <w:rsid w:val="00286E84"/>
    <w:rsid w:val="002871C1"/>
    <w:rsid w:val="00287405"/>
    <w:rsid w:val="002874AA"/>
    <w:rsid w:val="00287BF8"/>
    <w:rsid w:val="00291747"/>
    <w:rsid w:val="0029182B"/>
    <w:rsid w:val="002920F0"/>
    <w:rsid w:val="002933E3"/>
    <w:rsid w:val="00293986"/>
    <w:rsid w:val="00293F0C"/>
    <w:rsid w:val="00294507"/>
    <w:rsid w:val="0029499C"/>
    <w:rsid w:val="00295E5D"/>
    <w:rsid w:val="00296986"/>
    <w:rsid w:val="00297155"/>
    <w:rsid w:val="00297365"/>
    <w:rsid w:val="00297E7C"/>
    <w:rsid w:val="002A0539"/>
    <w:rsid w:val="002A06D7"/>
    <w:rsid w:val="002A0E59"/>
    <w:rsid w:val="002A16D3"/>
    <w:rsid w:val="002A1763"/>
    <w:rsid w:val="002A1C57"/>
    <w:rsid w:val="002A2C07"/>
    <w:rsid w:val="002A3991"/>
    <w:rsid w:val="002A3F7E"/>
    <w:rsid w:val="002A43E5"/>
    <w:rsid w:val="002A4F81"/>
    <w:rsid w:val="002A5554"/>
    <w:rsid w:val="002A565F"/>
    <w:rsid w:val="002A7BCF"/>
    <w:rsid w:val="002B03BD"/>
    <w:rsid w:val="002B075D"/>
    <w:rsid w:val="002B09CD"/>
    <w:rsid w:val="002B329F"/>
    <w:rsid w:val="002B3507"/>
    <w:rsid w:val="002B3C20"/>
    <w:rsid w:val="002B3D4C"/>
    <w:rsid w:val="002B5FC5"/>
    <w:rsid w:val="002B6D2D"/>
    <w:rsid w:val="002B6EF5"/>
    <w:rsid w:val="002B6FAC"/>
    <w:rsid w:val="002C062A"/>
    <w:rsid w:val="002C1D30"/>
    <w:rsid w:val="002C1E1A"/>
    <w:rsid w:val="002C2F87"/>
    <w:rsid w:val="002C4DFF"/>
    <w:rsid w:val="002C546B"/>
    <w:rsid w:val="002C5A52"/>
    <w:rsid w:val="002C5A6D"/>
    <w:rsid w:val="002C5D60"/>
    <w:rsid w:val="002C6095"/>
    <w:rsid w:val="002C609E"/>
    <w:rsid w:val="002C6A9C"/>
    <w:rsid w:val="002D049D"/>
    <w:rsid w:val="002D0DAA"/>
    <w:rsid w:val="002D1132"/>
    <w:rsid w:val="002D12EC"/>
    <w:rsid w:val="002D2490"/>
    <w:rsid w:val="002D356C"/>
    <w:rsid w:val="002D4019"/>
    <w:rsid w:val="002D4069"/>
    <w:rsid w:val="002D43E2"/>
    <w:rsid w:val="002D63D4"/>
    <w:rsid w:val="002E0B6E"/>
    <w:rsid w:val="002E1263"/>
    <w:rsid w:val="002E1964"/>
    <w:rsid w:val="002E33A4"/>
    <w:rsid w:val="002E370D"/>
    <w:rsid w:val="002E456E"/>
    <w:rsid w:val="002E4EC2"/>
    <w:rsid w:val="002E5187"/>
    <w:rsid w:val="002E5585"/>
    <w:rsid w:val="002E567C"/>
    <w:rsid w:val="002E57D3"/>
    <w:rsid w:val="002E5C14"/>
    <w:rsid w:val="002E6544"/>
    <w:rsid w:val="002E6F8D"/>
    <w:rsid w:val="002E734A"/>
    <w:rsid w:val="002E7637"/>
    <w:rsid w:val="002E7E61"/>
    <w:rsid w:val="002F088A"/>
    <w:rsid w:val="002F08C9"/>
    <w:rsid w:val="002F0D81"/>
    <w:rsid w:val="002F1041"/>
    <w:rsid w:val="002F12BF"/>
    <w:rsid w:val="002F16DE"/>
    <w:rsid w:val="002F31AB"/>
    <w:rsid w:val="002F4972"/>
    <w:rsid w:val="002F5A43"/>
    <w:rsid w:val="002F656C"/>
    <w:rsid w:val="002F6FEF"/>
    <w:rsid w:val="003006D1"/>
    <w:rsid w:val="003010DF"/>
    <w:rsid w:val="003014FE"/>
    <w:rsid w:val="003018FF"/>
    <w:rsid w:val="00301B1B"/>
    <w:rsid w:val="00302C02"/>
    <w:rsid w:val="00302E81"/>
    <w:rsid w:val="003038B8"/>
    <w:rsid w:val="00303D5A"/>
    <w:rsid w:val="00304A69"/>
    <w:rsid w:val="00304AA0"/>
    <w:rsid w:val="0030545C"/>
    <w:rsid w:val="0030589E"/>
    <w:rsid w:val="00306F60"/>
    <w:rsid w:val="00307132"/>
    <w:rsid w:val="00307742"/>
    <w:rsid w:val="00307EDF"/>
    <w:rsid w:val="00307FD4"/>
    <w:rsid w:val="0031005F"/>
    <w:rsid w:val="00310212"/>
    <w:rsid w:val="0031066C"/>
    <w:rsid w:val="00311BB4"/>
    <w:rsid w:val="00312E8C"/>
    <w:rsid w:val="003133A6"/>
    <w:rsid w:val="0031378F"/>
    <w:rsid w:val="00313A0B"/>
    <w:rsid w:val="003145B3"/>
    <w:rsid w:val="00315165"/>
    <w:rsid w:val="0031520D"/>
    <w:rsid w:val="00315E7D"/>
    <w:rsid w:val="003160EA"/>
    <w:rsid w:val="0032025A"/>
    <w:rsid w:val="0032081C"/>
    <w:rsid w:val="00320C2E"/>
    <w:rsid w:val="00320CF5"/>
    <w:rsid w:val="00321DE6"/>
    <w:rsid w:val="00321E8E"/>
    <w:rsid w:val="00321F25"/>
    <w:rsid w:val="0032229D"/>
    <w:rsid w:val="0032235B"/>
    <w:rsid w:val="00323362"/>
    <w:rsid w:val="00324AD7"/>
    <w:rsid w:val="00324C76"/>
    <w:rsid w:val="00324E66"/>
    <w:rsid w:val="0032511F"/>
    <w:rsid w:val="00325561"/>
    <w:rsid w:val="00326C9F"/>
    <w:rsid w:val="0032719A"/>
    <w:rsid w:val="0032775B"/>
    <w:rsid w:val="00327B75"/>
    <w:rsid w:val="00327DF7"/>
    <w:rsid w:val="00327E10"/>
    <w:rsid w:val="00330C59"/>
    <w:rsid w:val="00331093"/>
    <w:rsid w:val="0033113B"/>
    <w:rsid w:val="00332F03"/>
    <w:rsid w:val="0033327D"/>
    <w:rsid w:val="00333DD5"/>
    <w:rsid w:val="003340F8"/>
    <w:rsid w:val="00334426"/>
    <w:rsid w:val="003351FC"/>
    <w:rsid w:val="003358DA"/>
    <w:rsid w:val="00337256"/>
    <w:rsid w:val="00337FBD"/>
    <w:rsid w:val="003408ED"/>
    <w:rsid w:val="00341AA1"/>
    <w:rsid w:val="003421AB"/>
    <w:rsid w:val="0034331D"/>
    <w:rsid w:val="003437F2"/>
    <w:rsid w:val="00344079"/>
    <w:rsid w:val="0034541B"/>
    <w:rsid w:val="00345639"/>
    <w:rsid w:val="0034599E"/>
    <w:rsid w:val="003463D4"/>
    <w:rsid w:val="003466C3"/>
    <w:rsid w:val="00346797"/>
    <w:rsid w:val="003470A9"/>
    <w:rsid w:val="00350092"/>
    <w:rsid w:val="003508A3"/>
    <w:rsid w:val="003511F7"/>
    <w:rsid w:val="00353C6C"/>
    <w:rsid w:val="00353CD7"/>
    <w:rsid w:val="003544AE"/>
    <w:rsid w:val="00355A47"/>
    <w:rsid w:val="00356B5E"/>
    <w:rsid w:val="00357A2E"/>
    <w:rsid w:val="00357E1C"/>
    <w:rsid w:val="0036071E"/>
    <w:rsid w:val="00361900"/>
    <w:rsid w:val="00362EB8"/>
    <w:rsid w:val="003630E3"/>
    <w:rsid w:val="003632D7"/>
    <w:rsid w:val="0036502F"/>
    <w:rsid w:val="00365573"/>
    <w:rsid w:val="00365986"/>
    <w:rsid w:val="0036679B"/>
    <w:rsid w:val="003672FE"/>
    <w:rsid w:val="00367C58"/>
    <w:rsid w:val="00367F3F"/>
    <w:rsid w:val="00370E7A"/>
    <w:rsid w:val="003710F9"/>
    <w:rsid w:val="00371BE8"/>
    <w:rsid w:val="00371EEE"/>
    <w:rsid w:val="003724E0"/>
    <w:rsid w:val="003729A6"/>
    <w:rsid w:val="00372DDC"/>
    <w:rsid w:val="00373252"/>
    <w:rsid w:val="00373E02"/>
    <w:rsid w:val="00373E3C"/>
    <w:rsid w:val="00374193"/>
    <w:rsid w:val="00375A19"/>
    <w:rsid w:val="00376B0B"/>
    <w:rsid w:val="00376BF4"/>
    <w:rsid w:val="00376FD8"/>
    <w:rsid w:val="00377530"/>
    <w:rsid w:val="00380C5A"/>
    <w:rsid w:val="00380D1F"/>
    <w:rsid w:val="00380E5E"/>
    <w:rsid w:val="00380FB8"/>
    <w:rsid w:val="0038126D"/>
    <w:rsid w:val="003825A9"/>
    <w:rsid w:val="003825C7"/>
    <w:rsid w:val="003831E3"/>
    <w:rsid w:val="003832ED"/>
    <w:rsid w:val="00383E74"/>
    <w:rsid w:val="00384C16"/>
    <w:rsid w:val="00387922"/>
    <w:rsid w:val="0039111D"/>
    <w:rsid w:val="0039285C"/>
    <w:rsid w:val="00393633"/>
    <w:rsid w:val="003936FD"/>
    <w:rsid w:val="00393978"/>
    <w:rsid w:val="003955AC"/>
    <w:rsid w:val="003959F9"/>
    <w:rsid w:val="00397A51"/>
    <w:rsid w:val="00397BCD"/>
    <w:rsid w:val="003A011E"/>
    <w:rsid w:val="003A1FB0"/>
    <w:rsid w:val="003A211D"/>
    <w:rsid w:val="003A24EE"/>
    <w:rsid w:val="003A2E44"/>
    <w:rsid w:val="003A3695"/>
    <w:rsid w:val="003A3719"/>
    <w:rsid w:val="003A41DD"/>
    <w:rsid w:val="003A4369"/>
    <w:rsid w:val="003A5219"/>
    <w:rsid w:val="003A5959"/>
    <w:rsid w:val="003A5ECB"/>
    <w:rsid w:val="003A5F3E"/>
    <w:rsid w:val="003A6471"/>
    <w:rsid w:val="003A6AC2"/>
    <w:rsid w:val="003B0BB9"/>
    <w:rsid w:val="003B11B2"/>
    <w:rsid w:val="003B20B4"/>
    <w:rsid w:val="003B2D1A"/>
    <w:rsid w:val="003B3215"/>
    <w:rsid w:val="003B51B1"/>
    <w:rsid w:val="003B52ED"/>
    <w:rsid w:val="003B69D9"/>
    <w:rsid w:val="003B6B8C"/>
    <w:rsid w:val="003B7287"/>
    <w:rsid w:val="003B73B9"/>
    <w:rsid w:val="003B7A28"/>
    <w:rsid w:val="003C002F"/>
    <w:rsid w:val="003C099E"/>
    <w:rsid w:val="003C2429"/>
    <w:rsid w:val="003C2842"/>
    <w:rsid w:val="003C400B"/>
    <w:rsid w:val="003C506A"/>
    <w:rsid w:val="003C7FDD"/>
    <w:rsid w:val="003D011E"/>
    <w:rsid w:val="003D13CA"/>
    <w:rsid w:val="003D2391"/>
    <w:rsid w:val="003D2D23"/>
    <w:rsid w:val="003D3AC9"/>
    <w:rsid w:val="003D44E7"/>
    <w:rsid w:val="003D49ED"/>
    <w:rsid w:val="003D50C7"/>
    <w:rsid w:val="003D5A9B"/>
    <w:rsid w:val="003D643B"/>
    <w:rsid w:val="003D6B72"/>
    <w:rsid w:val="003D7BB1"/>
    <w:rsid w:val="003E0BA4"/>
    <w:rsid w:val="003E21C7"/>
    <w:rsid w:val="003E3080"/>
    <w:rsid w:val="003E444C"/>
    <w:rsid w:val="003E4C43"/>
    <w:rsid w:val="003E4FB1"/>
    <w:rsid w:val="003E53E4"/>
    <w:rsid w:val="003E56A3"/>
    <w:rsid w:val="003E676C"/>
    <w:rsid w:val="003E6D95"/>
    <w:rsid w:val="003E6DA1"/>
    <w:rsid w:val="003E6FE0"/>
    <w:rsid w:val="003F06D6"/>
    <w:rsid w:val="003F15A5"/>
    <w:rsid w:val="003F1F35"/>
    <w:rsid w:val="003F46F2"/>
    <w:rsid w:val="003F485D"/>
    <w:rsid w:val="003F4C3D"/>
    <w:rsid w:val="003F5B99"/>
    <w:rsid w:val="003F6177"/>
    <w:rsid w:val="003F7849"/>
    <w:rsid w:val="003F7F1E"/>
    <w:rsid w:val="00400890"/>
    <w:rsid w:val="00401749"/>
    <w:rsid w:val="00401B22"/>
    <w:rsid w:val="00401CF9"/>
    <w:rsid w:val="00401F89"/>
    <w:rsid w:val="0040234B"/>
    <w:rsid w:val="00402B7E"/>
    <w:rsid w:val="004057C5"/>
    <w:rsid w:val="00406403"/>
    <w:rsid w:val="004100ED"/>
    <w:rsid w:val="00410958"/>
    <w:rsid w:val="00410AB2"/>
    <w:rsid w:val="00410D52"/>
    <w:rsid w:val="00412010"/>
    <w:rsid w:val="004140F5"/>
    <w:rsid w:val="00415305"/>
    <w:rsid w:val="004154BB"/>
    <w:rsid w:val="00415A8E"/>
    <w:rsid w:val="004163F7"/>
    <w:rsid w:val="0041687B"/>
    <w:rsid w:val="00420D29"/>
    <w:rsid w:val="00420D8E"/>
    <w:rsid w:val="00420D90"/>
    <w:rsid w:val="00421113"/>
    <w:rsid w:val="004215D6"/>
    <w:rsid w:val="00421747"/>
    <w:rsid w:val="00421BE8"/>
    <w:rsid w:val="00421F70"/>
    <w:rsid w:val="00422838"/>
    <w:rsid w:val="00423073"/>
    <w:rsid w:val="00423445"/>
    <w:rsid w:val="004236FA"/>
    <w:rsid w:val="004237DE"/>
    <w:rsid w:val="00423E4E"/>
    <w:rsid w:val="00425F2E"/>
    <w:rsid w:val="004268A2"/>
    <w:rsid w:val="00426BB2"/>
    <w:rsid w:val="004275AF"/>
    <w:rsid w:val="00427F5F"/>
    <w:rsid w:val="004302B1"/>
    <w:rsid w:val="0043087F"/>
    <w:rsid w:val="00431CEE"/>
    <w:rsid w:val="004326A4"/>
    <w:rsid w:val="004329A5"/>
    <w:rsid w:val="00434904"/>
    <w:rsid w:val="00434AEA"/>
    <w:rsid w:val="00434B8E"/>
    <w:rsid w:val="00435C3E"/>
    <w:rsid w:val="0043662E"/>
    <w:rsid w:val="00436B64"/>
    <w:rsid w:val="00436B86"/>
    <w:rsid w:val="00436EA2"/>
    <w:rsid w:val="004370C7"/>
    <w:rsid w:val="00437397"/>
    <w:rsid w:val="00437900"/>
    <w:rsid w:val="004404AA"/>
    <w:rsid w:val="00440868"/>
    <w:rsid w:val="004408B5"/>
    <w:rsid w:val="00442ECF"/>
    <w:rsid w:val="00443A61"/>
    <w:rsid w:val="004441FA"/>
    <w:rsid w:val="00444400"/>
    <w:rsid w:val="0044461B"/>
    <w:rsid w:val="00444DF9"/>
    <w:rsid w:val="004457D7"/>
    <w:rsid w:val="0044682D"/>
    <w:rsid w:val="00446F3F"/>
    <w:rsid w:val="00447128"/>
    <w:rsid w:val="004501BF"/>
    <w:rsid w:val="0045067B"/>
    <w:rsid w:val="00450EA2"/>
    <w:rsid w:val="004528C3"/>
    <w:rsid w:val="004529ED"/>
    <w:rsid w:val="00453A91"/>
    <w:rsid w:val="00455549"/>
    <w:rsid w:val="00455A13"/>
    <w:rsid w:val="00455F94"/>
    <w:rsid w:val="0045641D"/>
    <w:rsid w:val="004567D7"/>
    <w:rsid w:val="00456DBA"/>
    <w:rsid w:val="00456E82"/>
    <w:rsid w:val="00456E87"/>
    <w:rsid w:val="00457359"/>
    <w:rsid w:val="00460652"/>
    <w:rsid w:val="00460ACF"/>
    <w:rsid w:val="00460AF6"/>
    <w:rsid w:val="0046156C"/>
    <w:rsid w:val="004619AB"/>
    <w:rsid w:val="00462BD6"/>
    <w:rsid w:val="00462C65"/>
    <w:rsid w:val="00464A92"/>
    <w:rsid w:val="00464F71"/>
    <w:rsid w:val="004653F1"/>
    <w:rsid w:val="00465CB0"/>
    <w:rsid w:val="00466579"/>
    <w:rsid w:val="00467D33"/>
    <w:rsid w:val="004701F0"/>
    <w:rsid w:val="0047085E"/>
    <w:rsid w:val="00470C15"/>
    <w:rsid w:val="00470FAF"/>
    <w:rsid w:val="004712A2"/>
    <w:rsid w:val="00473911"/>
    <w:rsid w:val="00473BE2"/>
    <w:rsid w:val="00474373"/>
    <w:rsid w:val="004744CB"/>
    <w:rsid w:val="00475D8D"/>
    <w:rsid w:val="00475E77"/>
    <w:rsid w:val="00481412"/>
    <w:rsid w:val="00482271"/>
    <w:rsid w:val="00482590"/>
    <w:rsid w:val="00484253"/>
    <w:rsid w:val="00484B47"/>
    <w:rsid w:val="00484C68"/>
    <w:rsid w:val="004850C4"/>
    <w:rsid w:val="00485F87"/>
    <w:rsid w:val="00490877"/>
    <w:rsid w:val="004928DA"/>
    <w:rsid w:val="00493710"/>
    <w:rsid w:val="004938B0"/>
    <w:rsid w:val="00494324"/>
    <w:rsid w:val="00495161"/>
    <w:rsid w:val="004960D0"/>
    <w:rsid w:val="004963A4"/>
    <w:rsid w:val="004976C2"/>
    <w:rsid w:val="00497885"/>
    <w:rsid w:val="004A0372"/>
    <w:rsid w:val="004A03BD"/>
    <w:rsid w:val="004A05AB"/>
    <w:rsid w:val="004A0C90"/>
    <w:rsid w:val="004A0FF3"/>
    <w:rsid w:val="004A11F7"/>
    <w:rsid w:val="004A144A"/>
    <w:rsid w:val="004A1A44"/>
    <w:rsid w:val="004A246B"/>
    <w:rsid w:val="004A26B0"/>
    <w:rsid w:val="004A320C"/>
    <w:rsid w:val="004A3E18"/>
    <w:rsid w:val="004A4262"/>
    <w:rsid w:val="004A42B6"/>
    <w:rsid w:val="004A465C"/>
    <w:rsid w:val="004A47EB"/>
    <w:rsid w:val="004A4AC2"/>
    <w:rsid w:val="004A56A8"/>
    <w:rsid w:val="004A5E52"/>
    <w:rsid w:val="004A6356"/>
    <w:rsid w:val="004A6A4D"/>
    <w:rsid w:val="004A7111"/>
    <w:rsid w:val="004A74A7"/>
    <w:rsid w:val="004A7842"/>
    <w:rsid w:val="004B0A10"/>
    <w:rsid w:val="004B0BD8"/>
    <w:rsid w:val="004B1296"/>
    <w:rsid w:val="004B27C5"/>
    <w:rsid w:val="004B27FC"/>
    <w:rsid w:val="004B2812"/>
    <w:rsid w:val="004B3289"/>
    <w:rsid w:val="004B33B9"/>
    <w:rsid w:val="004B4A93"/>
    <w:rsid w:val="004B55E7"/>
    <w:rsid w:val="004B57A9"/>
    <w:rsid w:val="004B58AD"/>
    <w:rsid w:val="004B652C"/>
    <w:rsid w:val="004B7B2F"/>
    <w:rsid w:val="004C2711"/>
    <w:rsid w:val="004C299E"/>
    <w:rsid w:val="004C2FAF"/>
    <w:rsid w:val="004C30DF"/>
    <w:rsid w:val="004C3BBA"/>
    <w:rsid w:val="004C3BEA"/>
    <w:rsid w:val="004C4241"/>
    <w:rsid w:val="004C468C"/>
    <w:rsid w:val="004C4AB6"/>
    <w:rsid w:val="004C4FFA"/>
    <w:rsid w:val="004C5116"/>
    <w:rsid w:val="004C5979"/>
    <w:rsid w:val="004C5BF2"/>
    <w:rsid w:val="004C7D7C"/>
    <w:rsid w:val="004D08CB"/>
    <w:rsid w:val="004D1C25"/>
    <w:rsid w:val="004D30FD"/>
    <w:rsid w:val="004D35F5"/>
    <w:rsid w:val="004D3F57"/>
    <w:rsid w:val="004D4F7B"/>
    <w:rsid w:val="004D55F2"/>
    <w:rsid w:val="004D6257"/>
    <w:rsid w:val="004D6AD4"/>
    <w:rsid w:val="004D6B3F"/>
    <w:rsid w:val="004D6FBF"/>
    <w:rsid w:val="004D731D"/>
    <w:rsid w:val="004E0AD5"/>
    <w:rsid w:val="004E15A2"/>
    <w:rsid w:val="004E2F1F"/>
    <w:rsid w:val="004E3264"/>
    <w:rsid w:val="004E33AB"/>
    <w:rsid w:val="004E3689"/>
    <w:rsid w:val="004E4135"/>
    <w:rsid w:val="004E4209"/>
    <w:rsid w:val="004E5241"/>
    <w:rsid w:val="004E5512"/>
    <w:rsid w:val="004E5DD7"/>
    <w:rsid w:val="004E603D"/>
    <w:rsid w:val="004E62D3"/>
    <w:rsid w:val="004E653A"/>
    <w:rsid w:val="004E6A07"/>
    <w:rsid w:val="004E6F3C"/>
    <w:rsid w:val="004E7F83"/>
    <w:rsid w:val="004F0164"/>
    <w:rsid w:val="004F051B"/>
    <w:rsid w:val="004F0F42"/>
    <w:rsid w:val="004F10D4"/>
    <w:rsid w:val="004F1349"/>
    <w:rsid w:val="004F1581"/>
    <w:rsid w:val="004F26E9"/>
    <w:rsid w:val="004F3E17"/>
    <w:rsid w:val="004F3F78"/>
    <w:rsid w:val="004F45E3"/>
    <w:rsid w:val="004F488A"/>
    <w:rsid w:val="004F5612"/>
    <w:rsid w:val="004F5F56"/>
    <w:rsid w:val="004F7022"/>
    <w:rsid w:val="004F739A"/>
    <w:rsid w:val="004F76D8"/>
    <w:rsid w:val="004F76E3"/>
    <w:rsid w:val="004F7CF8"/>
    <w:rsid w:val="00500B5C"/>
    <w:rsid w:val="00501417"/>
    <w:rsid w:val="00501622"/>
    <w:rsid w:val="00501A81"/>
    <w:rsid w:val="005030B4"/>
    <w:rsid w:val="00505300"/>
    <w:rsid w:val="005054C1"/>
    <w:rsid w:val="005068EB"/>
    <w:rsid w:val="00506CC6"/>
    <w:rsid w:val="00506EB2"/>
    <w:rsid w:val="0050786F"/>
    <w:rsid w:val="00507A38"/>
    <w:rsid w:val="00510759"/>
    <w:rsid w:val="0051076D"/>
    <w:rsid w:val="00511329"/>
    <w:rsid w:val="005118CD"/>
    <w:rsid w:val="00511D63"/>
    <w:rsid w:val="0051204D"/>
    <w:rsid w:val="00512C29"/>
    <w:rsid w:val="00512DE5"/>
    <w:rsid w:val="00512E80"/>
    <w:rsid w:val="00513423"/>
    <w:rsid w:val="00514212"/>
    <w:rsid w:val="005145CF"/>
    <w:rsid w:val="00514DE8"/>
    <w:rsid w:val="00515754"/>
    <w:rsid w:val="0051714E"/>
    <w:rsid w:val="005173D5"/>
    <w:rsid w:val="00517438"/>
    <w:rsid w:val="00517AA8"/>
    <w:rsid w:val="00520368"/>
    <w:rsid w:val="0052050A"/>
    <w:rsid w:val="005216E7"/>
    <w:rsid w:val="00521791"/>
    <w:rsid w:val="005229F8"/>
    <w:rsid w:val="00523334"/>
    <w:rsid w:val="00524434"/>
    <w:rsid w:val="0052452D"/>
    <w:rsid w:val="00524893"/>
    <w:rsid w:val="00524A39"/>
    <w:rsid w:val="00524FFC"/>
    <w:rsid w:val="005253C3"/>
    <w:rsid w:val="005258E2"/>
    <w:rsid w:val="005259D0"/>
    <w:rsid w:val="00525A49"/>
    <w:rsid w:val="0052746E"/>
    <w:rsid w:val="00527667"/>
    <w:rsid w:val="005302C7"/>
    <w:rsid w:val="00531D33"/>
    <w:rsid w:val="00531DD1"/>
    <w:rsid w:val="00532616"/>
    <w:rsid w:val="00532756"/>
    <w:rsid w:val="00533100"/>
    <w:rsid w:val="00533203"/>
    <w:rsid w:val="00533E03"/>
    <w:rsid w:val="005353D5"/>
    <w:rsid w:val="005354F9"/>
    <w:rsid w:val="00535B98"/>
    <w:rsid w:val="005371D0"/>
    <w:rsid w:val="005375D0"/>
    <w:rsid w:val="005404FE"/>
    <w:rsid w:val="005405CF"/>
    <w:rsid w:val="005416A1"/>
    <w:rsid w:val="00541BA7"/>
    <w:rsid w:val="00541DA3"/>
    <w:rsid w:val="005435E2"/>
    <w:rsid w:val="00543C13"/>
    <w:rsid w:val="00543DC6"/>
    <w:rsid w:val="00544201"/>
    <w:rsid w:val="00544BCA"/>
    <w:rsid w:val="00544D79"/>
    <w:rsid w:val="005460E7"/>
    <w:rsid w:val="005466B0"/>
    <w:rsid w:val="00546900"/>
    <w:rsid w:val="00546DB4"/>
    <w:rsid w:val="00546E0F"/>
    <w:rsid w:val="00547CAA"/>
    <w:rsid w:val="00547DC5"/>
    <w:rsid w:val="00550494"/>
    <w:rsid w:val="0055136E"/>
    <w:rsid w:val="005517FF"/>
    <w:rsid w:val="0055208E"/>
    <w:rsid w:val="00552347"/>
    <w:rsid w:val="00552645"/>
    <w:rsid w:val="005526D7"/>
    <w:rsid w:val="00552A83"/>
    <w:rsid w:val="00552E64"/>
    <w:rsid w:val="005532CA"/>
    <w:rsid w:val="00553851"/>
    <w:rsid w:val="00553C6A"/>
    <w:rsid w:val="005551C2"/>
    <w:rsid w:val="00557D84"/>
    <w:rsid w:val="00560B29"/>
    <w:rsid w:val="00561473"/>
    <w:rsid w:val="0056178A"/>
    <w:rsid w:val="00562014"/>
    <w:rsid w:val="0056219F"/>
    <w:rsid w:val="0056226B"/>
    <w:rsid w:val="00562DAF"/>
    <w:rsid w:val="00563CD1"/>
    <w:rsid w:val="005640D0"/>
    <w:rsid w:val="00564365"/>
    <w:rsid w:val="0056514C"/>
    <w:rsid w:val="00565A90"/>
    <w:rsid w:val="00565C6C"/>
    <w:rsid w:val="00566C13"/>
    <w:rsid w:val="00566F66"/>
    <w:rsid w:val="005672C2"/>
    <w:rsid w:val="0056775E"/>
    <w:rsid w:val="0057007A"/>
    <w:rsid w:val="005703EB"/>
    <w:rsid w:val="0057093C"/>
    <w:rsid w:val="005720BA"/>
    <w:rsid w:val="005727F1"/>
    <w:rsid w:val="00573BD4"/>
    <w:rsid w:val="00573C05"/>
    <w:rsid w:val="00573FF4"/>
    <w:rsid w:val="005755BC"/>
    <w:rsid w:val="005763C7"/>
    <w:rsid w:val="005768D2"/>
    <w:rsid w:val="00577795"/>
    <w:rsid w:val="005801CC"/>
    <w:rsid w:val="005813E4"/>
    <w:rsid w:val="00581845"/>
    <w:rsid w:val="00581A18"/>
    <w:rsid w:val="0058222A"/>
    <w:rsid w:val="005828CE"/>
    <w:rsid w:val="0058302E"/>
    <w:rsid w:val="005835C2"/>
    <w:rsid w:val="005835E4"/>
    <w:rsid w:val="00584A37"/>
    <w:rsid w:val="005855E1"/>
    <w:rsid w:val="00585FC0"/>
    <w:rsid w:val="005863CA"/>
    <w:rsid w:val="005870BD"/>
    <w:rsid w:val="00587972"/>
    <w:rsid w:val="00590C9C"/>
    <w:rsid w:val="005913EE"/>
    <w:rsid w:val="00591420"/>
    <w:rsid w:val="00591E4C"/>
    <w:rsid w:val="00591F5C"/>
    <w:rsid w:val="00593494"/>
    <w:rsid w:val="00593BC4"/>
    <w:rsid w:val="0059479E"/>
    <w:rsid w:val="00594CB8"/>
    <w:rsid w:val="0059599E"/>
    <w:rsid w:val="0059755E"/>
    <w:rsid w:val="005A07AE"/>
    <w:rsid w:val="005A1006"/>
    <w:rsid w:val="005A21A7"/>
    <w:rsid w:val="005A2681"/>
    <w:rsid w:val="005A320A"/>
    <w:rsid w:val="005A3488"/>
    <w:rsid w:val="005A4742"/>
    <w:rsid w:val="005A5057"/>
    <w:rsid w:val="005A541E"/>
    <w:rsid w:val="005A5721"/>
    <w:rsid w:val="005A5FD5"/>
    <w:rsid w:val="005A690F"/>
    <w:rsid w:val="005A6AE8"/>
    <w:rsid w:val="005A6B6C"/>
    <w:rsid w:val="005A7030"/>
    <w:rsid w:val="005B0667"/>
    <w:rsid w:val="005B0913"/>
    <w:rsid w:val="005B0EE4"/>
    <w:rsid w:val="005B168D"/>
    <w:rsid w:val="005B3837"/>
    <w:rsid w:val="005B39DB"/>
    <w:rsid w:val="005B3B4B"/>
    <w:rsid w:val="005B4E0B"/>
    <w:rsid w:val="005B5709"/>
    <w:rsid w:val="005B62D9"/>
    <w:rsid w:val="005B696F"/>
    <w:rsid w:val="005B7132"/>
    <w:rsid w:val="005B7F7B"/>
    <w:rsid w:val="005C0A99"/>
    <w:rsid w:val="005C1D2B"/>
    <w:rsid w:val="005C2907"/>
    <w:rsid w:val="005C2CD3"/>
    <w:rsid w:val="005C3968"/>
    <w:rsid w:val="005C3EB1"/>
    <w:rsid w:val="005C44FA"/>
    <w:rsid w:val="005C4613"/>
    <w:rsid w:val="005C5336"/>
    <w:rsid w:val="005C5A6A"/>
    <w:rsid w:val="005C6BC4"/>
    <w:rsid w:val="005C794D"/>
    <w:rsid w:val="005C7E89"/>
    <w:rsid w:val="005D06DC"/>
    <w:rsid w:val="005D0CD8"/>
    <w:rsid w:val="005D1EB6"/>
    <w:rsid w:val="005D335B"/>
    <w:rsid w:val="005D3DA2"/>
    <w:rsid w:val="005D3FD0"/>
    <w:rsid w:val="005D5D44"/>
    <w:rsid w:val="005D5E8D"/>
    <w:rsid w:val="005D6445"/>
    <w:rsid w:val="005D6B39"/>
    <w:rsid w:val="005D7121"/>
    <w:rsid w:val="005D7BA3"/>
    <w:rsid w:val="005D7CFC"/>
    <w:rsid w:val="005E03FF"/>
    <w:rsid w:val="005E0606"/>
    <w:rsid w:val="005E2149"/>
    <w:rsid w:val="005E2652"/>
    <w:rsid w:val="005E266C"/>
    <w:rsid w:val="005E27EB"/>
    <w:rsid w:val="005E2EAD"/>
    <w:rsid w:val="005E2F1B"/>
    <w:rsid w:val="005E3950"/>
    <w:rsid w:val="005E475E"/>
    <w:rsid w:val="005E48A3"/>
    <w:rsid w:val="005E4E2A"/>
    <w:rsid w:val="005E6AB4"/>
    <w:rsid w:val="005E7237"/>
    <w:rsid w:val="005E77D4"/>
    <w:rsid w:val="005E7F07"/>
    <w:rsid w:val="005F0272"/>
    <w:rsid w:val="005F0B92"/>
    <w:rsid w:val="005F1412"/>
    <w:rsid w:val="005F167C"/>
    <w:rsid w:val="005F1DF6"/>
    <w:rsid w:val="005F2AC1"/>
    <w:rsid w:val="005F37BE"/>
    <w:rsid w:val="005F395B"/>
    <w:rsid w:val="005F405F"/>
    <w:rsid w:val="005F4B26"/>
    <w:rsid w:val="005F4B62"/>
    <w:rsid w:val="005F5032"/>
    <w:rsid w:val="005F5319"/>
    <w:rsid w:val="005F53F4"/>
    <w:rsid w:val="005F5BBC"/>
    <w:rsid w:val="005F5D3B"/>
    <w:rsid w:val="005F6A0A"/>
    <w:rsid w:val="005F7268"/>
    <w:rsid w:val="005F74D3"/>
    <w:rsid w:val="005F7F8C"/>
    <w:rsid w:val="00600093"/>
    <w:rsid w:val="00600D05"/>
    <w:rsid w:val="00600DF6"/>
    <w:rsid w:val="00601B23"/>
    <w:rsid w:val="0060255A"/>
    <w:rsid w:val="006042D8"/>
    <w:rsid w:val="00605B96"/>
    <w:rsid w:val="006065A0"/>
    <w:rsid w:val="006074A7"/>
    <w:rsid w:val="00607CF5"/>
    <w:rsid w:val="0061016A"/>
    <w:rsid w:val="00610C24"/>
    <w:rsid w:val="006113AA"/>
    <w:rsid w:val="00611C4B"/>
    <w:rsid w:val="00611E0D"/>
    <w:rsid w:val="00611E15"/>
    <w:rsid w:val="0061237B"/>
    <w:rsid w:val="00612ADF"/>
    <w:rsid w:val="00612AE3"/>
    <w:rsid w:val="00612B30"/>
    <w:rsid w:val="00612D94"/>
    <w:rsid w:val="0061352F"/>
    <w:rsid w:val="006145B0"/>
    <w:rsid w:val="00614DAA"/>
    <w:rsid w:val="00615074"/>
    <w:rsid w:val="006152AA"/>
    <w:rsid w:val="006154FD"/>
    <w:rsid w:val="00615559"/>
    <w:rsid w:val="00615816"/>
    <w:rsid w:val="00615883"/>
    <w:rsid w:val="00615F91"/>
    <w:rsid w:val="00616C47"/>
    <w:rsid w:val="006177B7"/>
    <w:rsid w:val="0062027A"/>
    <w:rsid w:val="006202C8"/>
    <w:rsid w:val="006205D5"/>
    <w:rsid w:val="00620A02"/>
    <w:rsid w:val="00620B15"/>
    <w:rsid w:val="006217FD"/>
    <w:rsid w:val="006235C0"/>
    <w:rsid w:val="006255E4"/>
    <w:rsid w:val="00625818"/>
    <w:rsid w:val="00626A21"/>
    <w:rsid w:val="00627C01"/>
    <w:rsid w:val="006301F5"/>
    <w:rsid w:val="006306A1"/>
    <w:rsid w:val="00630CDC"/>
    <w:rsid w:val="00630D31"/>
    <w:rsid w:val="00634147"/>
    <w:rsid w:val="006352DA"/>
    <w:rsid w:val="00636073"/>
    <w:rsid w:val="00636273"/>
    <w:rsid w:val="00636C54"/>
    <w:rsid w:val="00636FE8"/>
    <w:rsid w:val="006373DC"/>
    <w:rsid w:val="006411F9"/>
    <w:rsid w:val="006416B3"/>
    <w:rsid w:val="00641852"/>
    <w:rsid w:val="00641982"/>
    <w:rsid w:val="00641F5B"/>
    <w:rsid w:val="0064251A"/>
    <w:rsid w:val="00642707"/>
    <w:rsid w:val="006431B0"/>
    <w:rsid w:val="006432EC"/>
    <w:rsid w:val="006433BA"/>
    <w:rsid w:val="00643823"/>
    <w:rsid w:val="0064394A"/>
    <w:rsid w:val="00643ACE"/>
    <w:rsid w:val="00643EE4"/>
    <w:rsid w:val="0064594D"/>
    <w:rsid w:val="00645AE2"/>
    <w:rsid w:val="00646544"/>
    <w:rsid w:val="0064661D"/>
    <w:rsid w:val="00646BF0"/>
    <w:rsid w:val="00647278"/>
    <w:rsid w:val="0064746B"/>
    <w:rsid w:val="00647ADE"/>
    <w:rsid w:val="0065173A"/>
    <w:rsid w:val="0065192F"/>
    <w:rsid w:val="00652AC9"/>
    <w:rsid w:val="00653814"/>
    <w:rsid w:val="006541E1"/>
    <w:rsid w:val="0065541C"/>
    <w:rsid w:val="006570D5"/>
    <w:rsid w:val="00660A20"/>
    <w:rsid w:val="006613FB"/>
    <w:rsid w:val="006618A6"/>
    <w:rsid w:val="006625FE"/>
    <w:rsid w:val="00663B1C"/>
    <w:rsid w:val="00664B87"/>
    <w:rsid w:val="00665268"/>
    <w:rsid w:val="00665BF0"/>
    <w:rsid w:val="00665F71"/>
    <w:rsid w:val="006660E8"/>
    <w:rsid w:val="006662DB"/>
    <w:rsid w:val="00666479"/>
    <w:rsid w:val="00666575"/>
    <w:rsid w:val="00666821"/>
    <w:rsid w:val="00666F10"/>
    <w:rsid w:val="0066769A"/>
    <w:rsid w:val="00667CA4"/>
    <w:rsid w:val="00670E50"/>
    <w:rsid w:val="006712A1"/>
    <w:rsid w:val="00673881"/>
    <w:rsid w:val="00673A54"/>
    <w:rsid w:val="0067529F"/>
    <w:rsid w:val="006758D5"/>
    <w:rsid w:val="00676329"/>
    <w:rsid w:val="00676356"/>
    <w:rsid w:val="00676459"/>
    <w:rsid w:val="00677848"/>
    <w:rsid w:val="00677AFF"/>
    <w:rsid w:val="006805C9"/>
    <w:rsid w:val="00680629"/>
    <w:rsid w:val="00681B42"/>
    <w:rsid w:val="00682656"/>
    <w:rsid w:val="00682849"/>
    <w:rsid w:val="00683C2E"/>
    <w:rsid w:val="006849C6"/>
    <w:rsid w:val="00684B6F"/>
    <w:rsid w:val="006854BE"/>
    <w:rsid w:val="00685F3D"/>
    <w:rsid w:val="006870EC"/>
    <w:rsid w:val="00687555"/>
    <w:rsid w:val="00690882"/>
    <w:rsid w:val="006917E7"/>
    <w:rsid w:val="00691BB0"/>
    <w:rsid w:val="00691DC2"/>
    <w:rsid w:val="00692271"/>
    <w:rsid w:val="006922CA"/>
    <w:rsid w:val="00694033"/>
    <w:rsid w:val="00694321"/>
    <w:rsid w:val="00694BDD"/>
    <w:rsid w:val="00694CB6"/>
    <w:rsid w:val="00697062"/>
    <w:rsid w:val="00697D5E"/>
    <w:rsid w:val="006A0B9F"/>
    <w:rsid w:val="006A0BE7"/>
    <w:rsid w:val="006A0E5B"/>
    <w:rsid w:val="006A0E7E"/>
    <w:rsid w:val="006A15F5"/>
    <w:rsid w:val="006A2DC7"/>
    <w:rsid w:val="006A4134"/>
    <w:rsid w:val="006A4AAB"/>
    <w:rsid w:val="006A531B"/>
    <w:rsid w:val="006A53D9"/>
    <w:rsid w:val="006A5DC8"/>
    <w:rsid w:val="006A7457"/>
    <w:rsid w:val="006A7605"/>
    <w:rsid w:val="006A7FB4"/>
    <w:rsid w:val="006B176B"/>
    <w:rsid w:val="006B1CDA"/>
    <w:rsid w:val="006B28B7"/>
    <w:rsid w:val="006B28F7"/>
    <w:rsid w:val="006B40A6"/>
    <w:rsid w:val="006B4847"/>
    <w:rsid w:val="006B5055"/>
    <w:rsid w:val="006B5B59"/>
    <w:rsid w:val="006B5C41"/>
    <w:rsid w:val="006B7AC3"/>
    <w:rsid w:val="006B7CD4"/>
    <w:rsid w:val="006C0916"/>
    <w:rsid w:val="006C1969"/>
    <w:rsid w:val="006C1A97"/>
    <w:rsid w:val="006C1BE5"/>
    <w:rsid w:val="006C1C23"/>
    <w:rsid w:val="006C21C6"/>
    <w:rsid w:val="006C2290"/>
    <w:rsid w:val="006C3527"/>
    <w:rsid w:val="006C3B11"/>
    <w:rsid w:val="006C3BF1"/>
    <w:rsid w:val="006C4421"/>
    <w:rsid w:val="006C4CB5"/>
    <w:rsid w:val="006C50E0"/>
    <w:rsid w:val="006C5A60"/>
    <w:rsid w:val="006C68FE"/>
    <w:rsid w:val="006C6936"/>
    <w:rsid w:val="006C6F11"/>
    <w:rsid w:val="006C7B5F"/>
    <w:rsid w:val="006C7F04"/>
    <w:rsid w:val="006D0D69"/>
    <w:rsid w:val="006D173B"/>
    <w:rsid w:val="006D185D"/>
    <w:rsid w:val="006D2A91"/>
    <w:rsid w:val="006D445D"/>
    <w:rsid w:val="006D46A3"/>
    <w:rsid w:val="006D4C6A"/>
    <w:rsid w:val="006D60A6"/>
    <w:rsid w:val="006D7B77"/>
    <w:rsid w:val="006D7CE5"/>
    <w:rsid w:val="006D7F1D"/>
    <w:rsid w:val="006E0FDD"/>
    <w:rsid w:val="006E1EF8"/>
    <w:rsid w:val="006E28A8"/>
    <w:rsid w:val="006E2CD6"/>
    <w:rsid w:val="006E32D8"/>
    <w:rsid w:val="006E3C26"/>
    <w:rsid w:val="006E43E4"/>
    <w:rsid w:val="006E59C5"/>
    <w:rsid w:val="006E6596"/>
    <w:rsid w:val="006E7BF3"/>
    <w:rsid w:val="006F0313"/>
    <w:rsid w:val="006F0CE1"/>
    <w:rsid w:val="006F1551"/>
    <w:rsid w:val="006F24DC"/>
    <w:rsid w:val="006F263B"/>
    <w:rsid w:val="006F2C47"/>
    <w:rsid w:val="006F35FF"/>
    <w:rsid w:val="006F3C86"/>
    <w:rsid w:val="006F4269"/>
    <w:rsid w:val="006F4374"/>
    <w:rsid w:val="006F6316"/>
    <w:rsid w:val="006F6705"/>
    <w:rsid w:val="006F7A0E"/>
    <w:rsid w:val="00700501"/>
    <w:rsid w:val="00700712"/>
    <w:rsid w:val="0070083B"/>
    <w:rsid w:val="00700924"/>
    <w:rsid w:val="00701B4A"/>
    <w:rsid w:val="00701DB8"/>
    <w:rsid w:val="007034B6"/>
    <w:rsid w:val="0070423E"/>
    <w:rsid w:val="0070425E"/>
    <w:rsid w:val="00704338"/>
    <w:rsid w:val="007044A3"/>
    <w:rsid w:val="007049DC"/>
    <w:rsid w:val="00704E68"/>
    <w:rsid w:val="00705283"/>
    <w:rsid w:val="007053E8"/>
    <w:rsid w:val="007059E3"/>
    <w:rsid w:val="00706A9B"/>
    <w:rsid w:val="00707A8C"/>
    <w:rsid w:val="00707D26"/>
    <w:rsid w:val="007103E0"/>
    <w:rsid w:val="00710651"/>
    <w:rsid w:val="00710D7B"/>
    <w:rsid w:val="00710E87"/>
    <w:rsid w:val="00711272"/>
    <w:rsid w:val="00711968"/>
    <w:rsid w:val="007125AA"/>
    <w:rsid w:val="00713341"/>
    <w:rsid w:val="00713AE5"/>
    <w:rsid w:val="00713EE5"/>
    <w:rsid w:val="0071489A"/>
    <w:rsid w:val="00715DAB"/>
    <w:rsid w:val="00716217"/>
    <w:rsid w:val="00716EF5"/>
    <w:rsid w:val="00717B65"/>
    <w:rsid w:val="00720706"/>
    <w:rsid w:val="007212F5"/>
    <w:rsid w:val="0072156A"/>
    <w:rsid w:val="00722401"/>
    <w:rsid w:val="00722C6B"/>
    <w:rsid w:val="0072372B"/>
    <w:rsid w:val="00724920"/>
    <w:rsid w:val="007258B1"/>
    <w:rsid w:val="007261CE"/>
    <w:rsid w:val="00726265"/>
    <w:rsid w:val="00727874"/>
    <w:rsid w:val="00732460"/>
    <w:rsid w:val="007327F6"/>
    <w:rsid w:val="00732CC6"/>
    <w:rsid w:val="00733467"/>
    <w:rsid w:val="00733638"/>
    <w:rsid w:val="00733E4C"/>
    <w:rsid w:val="0073408D"/>
    <w:rsid w:val="00734286"/>
    <w:rsid w:val="0073486B"/>
    <w:rsid w:val="00735E4A"/>
    <w:rsid w:val="0073602F"/>
    <w:rsid w:val="007364AB"/>
    <w:rsid w:val="00736EAB"/>
    <w:rsid w:val="00737EB2"/>
    <w:rsid w:val="00740018"/>
    <w:rsid w:val="007408F3"/>
    <w:rsid w:val="00740918"/>
    <w:rsid w:val="00740E00"/>
    <w:rsid w:val="00740F5D"/>
    <w:rsid w:val="00741643"/>
    <w:rsid w:val="0074259C"/>
    <w:rsid w:val="00742A54"/>
    <w:rsid w:val="00742C39"/>
    <w:rsid w:val="00742CDF"/>
    <w:rsid w:val="00743085"/>
    <w:rsid w:val="007433DE"/>
    <w:rsid w:val="00743B1B"/>
    <w:rsid w:val="00743F21"/>
    <w:rsid w:val="007441E1"/>
    <w:rsid w:val="007444FB"/>
    <w:rsid w:val="007453D1"/>
    <w:rsid w:val="0074547C"/>
    <w:rsid w:val="0074600E"/>
    <w:rsid w:val="00746B94"/>
    <w:rsid w:val="00746FFD"/>
    <w:rsid w:val="0074782F"/>
    <w:rsid w:val="0074798F"/>
    <w:rsid w:val="00747B08"/>
    <w:rsid w:val="00747D4C"/>
    <w:rsid w:val="00750477"/>
    <w:rsid w:val="00750E3E"/>
    <w:rsid w:val="00750E8D"/>
    <w:rsid w:val="0075141B"/>
    <w:rsid w:val="00751C17"/>
    <w:rsid w:val="0075252C"/>
    <w:rsid w:val="00753657"/>
    <w:rsid w:val="00753867"/>
    <w:rsid w:val="00753BFE"/>
    <w:rsid w:val="0075410E"/>
    <w:rsid w:val="00754D9A"/>
    <w:rsid w:val="007550CA"/>
    <w:rsid w:val="00755DA7"/>
    <w:rsid w:val="00756305"/>
    <w:rsid w:val="00757CC9"/>
    <w:rsid w:val="00757D61"/>
    <w:rsid w:val="00762BBA"/>
    <w:rsid w:val="00762F4E"/>
    <w:rsid w:val="007630EE"/>
    <w:rsid w:val="0076356B"/>
    <w:rsid w:val="00763C68"/>
    <w:rsid w:val="00765CDE"/>
    <w:rsid w:val="00767763"/>
    <w:rsid w:val="00767A12"/>
    <w:rsid w:val="00767D82"/>
    <w:rsid w:val="00767E8A"/>
    <w:rsid w:val="00767E9C"/>
    <w:rsid w:val="00770687"/>
    <w:rsid w:val="00770CB9"/>
    <w:rsid w:val="007726FE"/>
    <w:rsid w:val="007734FB"/>
    <w:rsid w:val="00773614"/>
    <w:rsid w:val="00773C97"/>
    <w:rsid w:val="00774A4C"/>
    <w:rsid w:val="00775DAC"/>
    <w:rsid w:val="00775E22"/>
    <w:rsid w:val="00776234"/>
    <w:rsid w:val="00776E14"/>
    <w:rsid w:val="0078168E"/>
    <w:rsid w:val="00783046"/>
    <w:rsid w:val="00784CF4"/>
    <w:rsid w:val="00784ECA"/>
    <w:rsid w:val="007865C2"/>
    <w:rsid w:val="007870E9"/>
    <w:rsid w:val="0078780C"/>
    <w:rsid w:val="00787F1B"/>
    <w:rsid w:val="00790B36"/>
    <w:rsid w:val="00791CE2"/>
    <w:rsid w:val="007931B1"/>
    <w:rsid w:val="007931C0"/>
    <w:rsid w:val="00793606"/>
    <w:rsid w:val="00793D5A"/>
    <w:rsid w:val="00794BED"/>
    <w:rsid w:val="00794F24"/>
    <w:rsid w:val="00794F70"/>
    <w:rsid w:val="007975A2"/>
    <w:rsid w:val="007A0D97"/>
    <w:rsid w:val="007A1092"/>
    <w:rsid w:val="007A1725"/>
    <w:rsid w:val="007A19A8"/>
    <w:rsid w:val="007A1FB3"/>
    <w:rsid w:val="007A2EE7"/>
    <w:rsid w:val="007A3109"/>
    <w:rsid w:val="007A3869"/>
    <w:rsid w:val="007A41D6"/>
    <w:rsid w:val="007A55C3"/>
    <w:rsid w:val="007A596F"/>
    <w:rsid w:val="007A5A63"/>
    <w:rsid w:val="007A6ADC"/>
    <w:rsid w:val="007A6BD3"/>
    <w:rsid w:val="007A75AF"/>
    <w:rsid w:val="007A76C5"/>
    <w:rsid w:val="007B03D8"/>
    <w:rsid w:val="007B0AC7"/>
    <w:rsid w:val="007B18CB"/>
    <w:rsid w:val="007B19C9"/>
    <w:rsid w:val="007B1BBF"/>
    <w:rsid w:val="007B22F5"/>
    <w:rsid w:val="007B37D5"/>
    <w:rsid w:val="007B3F93"/>
    <w:rsid w:val="007B416B"/>
    <w:rsid w:val="007B48B8"/>
    <w:rsid w:val="007B582A"/>
    <w:rsid w:val="007B6077"/>
    <w:rsid w:val="007B608C"/>
    <w:rsid w:val="007B67A3"/>
    <w:rsid w:val="007B7899"/>
    <w:rsid w:val="007C02A8"/>
    <w:rsid w:val="007C036E"/>
    <w:rsid w:val="007C0879"/>
    <w:rsid w:val="007C25E6"/>
    <w:rsid w:val="007C3097"/>
    <w:rsid w:val="007C34F2"/>
    <w:rsid w:val="007C3BB3"/>
    <w:rsid w:val="007C3D29"/>
    <w:rsid w:val="007C4257"/>
    <w:rsid w:val="007C5297"/>
    <w:rsid w:val="007C5907"/>
    <w:rsid w:val="007C5954"/>
    <w:rsid w:val="007C5C98"/>
    <w:rsid w:val="007C6298"/>
    <w:rsid w:val="007C752D"/>
    <w:rsid w:val="007C7793"/>
    <w:rsid w:val="007C7B7E"/>
    <w:rsid w:val="007C7C3D"/>
    <w:rsid w:val="007C7D76"/>
    <w:rsid w:val="007D140D"/>
    <w:rsid w:val="007D1DB5"/>
    <w:rsid w:val="007D243C"/>
    <w:rsid w:val="007D27BA"/>
    <w:rsid w:val="007D2C04"/>
    <w:rsid w:val="007D2F50"/>
    <w:rsid w:val="007D372E"/>
    <w:rsid w:val="007D4AC0"/>
    <w:rsid w:val="007D5396"/>
    <w:rsid w:val="007D53F6"/>
    <w:rsid w:val="007D5A19"/>
    <w:rsid w:val="007D69E5"/>
    <w:rsid w:val="007D72A0"/>
    <w:rsid w:val="007E0F7E"/>
    <w:rsid w:val="007E1EC4"/>
    <w:rsid w:val="007E413B"/>
    <w:rsid w:val="007E5161"/>
    <w:rsid w:val="007E716A"/>
    <w:rsid w:val="007E7849"/>
    <w:rsid w:val="007E7C9B"/>
    <w:rsid w:val="007E7FEA"/>
    <w:rsid w:val="007F1A8A"/>
    <w:rsid w:val="007F27A6"/>
    <w:rsid w:val="007F467E"/>
    <w:rsid w:val="007F4829"/>
    <w:rsid w:val="007F4870"/>
    <w:rsid w:val="007F4986"/>
    <w:rsid w:val="007F5455"/>
    <w:rsid w:val="007F5547"/>
    <w:rsid w:val="007F59AD"/>
    <w:rsid w:val="007F6772"/>
    <w:rsid w:val="007F69D3"/>
    <w:rsid w:val="00801342"/>
    <w:rsid w:val="00802896"/>
    <w:rsid w:val="00802ABC"/>
    <w:rsid w:val="00803D26"/>
    <w:rsid w:val="00803FEA"/>
    <w:rsid w:val="0080444A"/>
    <w:rsid w:val="00804723"/>
    <w:rsid w:val="00805569"/>
    <w:rsid w:val="00805DBE"/>
    <w:rsid w:val="00806036"/>
    <w:rsid w:val="008075C7"/>
    <w:rsid w:val="00807660"/>
    <w:rsid w:val="0081013E"/>
    <w:rsid w:val="00810976"/>
    <w:rsid w:val="00811240"/>
    <w:rsid w:val="0081127D"/>
    <w:rsid w:val="00812F5D"/>
    <w:rsid w:val="00813D6E"/>
    <w:rsid w:val="00813EF7"/>
    <w:rsid w:val="0081468E"/>
    <w:rsid w:val="00815153"/>
    <w:rsid w:val="008174A4"/>
    <w:rsid w:val="00817591"/>
    <w:rsid w:val="0081773E"/>
    <w:rsid w:val="00817E33"/>
    <w:rsid w:val="00822010"/>
    <w:rsid w:val="008220AF"/>
    <w:rsid w:val="008226EE"/>
    <w:rsid w:val="00823326"/>
    <w:rsid w:val="008236D5"/>
    <w:rsid w:val="00824A1F"/>
    <w:rsid w:val="00824F0C"/>
    <w:rsid w:val="008268A2"/>
    <w:rsid w:val="008269A4"/>
    <w:rsid w:val="00826B28"/>
    <w:rsid w:val="00830796"/>
    <w:rsid w:val="008315A6"/>
    <w:rsid w:val="008319DC"/>
    <w:rsid w:val="00831D48"/>
    <w:rsid w:val="00832103"/>
    <w:rsid w:val="00833553"/>
    <w:rsid w:val="0083377E"/>
    <w:rsid w:val="0083399F"/>
    <w:rsid w:val="008349FC"/>
    <w:rsid w:val="00834AC6"/>
    <w:rsid w:val="00834B3D"/>
    <w:rsid w:val="00834F4E"/>
    <w:rsid w:val="00836148"/>
    <w:rsid w:val="0083673B"/>
    <w:rsid w:val="0083686D"/>
    <w:rsid w:val="00837F6C"/>
    <w:rsid w:val="008404E3"/>
    <w:rsid w:val="008409A1"/>
    <w:rsid w:val="00841DE2"/>
    <w:rsid w:val="008421E5"/>
    <w:rsid w:val="00842C30"/>
    <w:rsid w:val="008435F8"/>
    <w:rsid w:val="00843873"/>
    <w:rsid w:val="008441A9"/>
    <w:rsid w:val="00845285"/>
    <w:rsid w:val="008457CB"/>
    <w:rsid w:val="00845A65"/>
    <w:rsid w:val="00845C47"/>
    <w:rsid w:val="008466A1"/>
    <w:rsid w:val="0084674A"/>
    <w:rsid w:val="00846E6A"/>
    <w:rsid w:val="00847749"/>
    <w:rsid w:val="00847862"/>
    <w:rsid w:val="00850CEB"/>
    <w:rsid w:val="00852099"/>
    <w:rsid w:val="008537DC"/>
    <w:rsid w:val="00853A1E"/>
    <w:rsid w:val="00853EA9"/>
    <w:rsid w:val="008549F7"/>
    <w:rsid w:val="00854C51"/>
    <w:rsid w:val="00854C8A"/>
    <w:rsid w:val="00855915"/>
    <w:rsid w:val="00856EE4"/>
    <w:rsid w:val="008577B9"/>
    <w:rsid w:val="00860036"/>
    <w:rsid w:val="008604FB"/>
    <w:rsid w:val="00861DC1"/>
    <w:rsid w:val="0086237A"/>
    <w:rsid w:val="00862770"/>
    <w:rsid w:val="00863503"/>
    <w:rsid w:val="00863C41"/>
    <w:rsid w:val="008640C5"/>
    <w:rsid w:val="0086510D"/>
    <w:rsid w:val="00865CCF"/>
    <w:rsid w:val="00866866"/>
    <w:rsid w:val="008674F4"/>
    <w:rsid w:val="00870734"/>
    <w:rsid w:val="00870EED"/>
    <w:rsid w:val="00871C10"/>
    <w:rsid w:val="00872655"/>
    <w:rsid w:val="00872956"/>
    <w:rsid w:val="00872BDA"/>
    <w:rsid w:val="00872DB2"/>
    <w:rsid w:val="00873339"/>
    <w:rsid w:val="0087400E"/>
    <w:rsid w:val="0087421A"/>
    <w:rsid w:val="00874BA7"/>
    <w:rsid w:val="00874BA8"/>
    <w:rsid w:val="00874E47"/>
    <w:rsid w:val="00875106"/>
    <w:rsid w:val="008768BE"/>
    <w:rsid w:val="00876C42"/>
    <w:rsid w:val="008777B0"/>
    <w:rsid w:val="00877C72"/>
    <w:rsid w:val="00877C7C"/>
    <w:rsid w:val="00880895"/>
    <w:rsid w:val="00880F7D"/>
    <w:rsid w:val="00884D35"/>
    <w:rsid w:val="008859D7"/>
    <w:rsid w:val="0088661B"/>
    <w:rsid w:val="008866BC"/>
    <w:rsid w:val="00886822"/>
    <w:rsid w:val="008875DF"/>
    <w:rsid w:val="008877ED"/>
    <w:rsid w:val="0089033F"/>
    <w:rsid w:val="008906DB"/>
    <w:rsid w:val="00890A13"/>
    <w:rsid w:val="008927E4"/>
    <w:rsid w:val="00892817"/>
    <w:rsid w:val="008928D3"/>
    <w:rsid w:val="00893BFA"/>
    <w:rsid w:val="00893E0D"/>
    <w:rsid w:val="008943BA"/>
    <w:rsid w:val="00894660"/>
    <w:rsid w:val="008957D2"/>
    <w:rsid w:val="00895BDE"/>
    <w:rsid w:val="00896C77"/>
    <w:rsid w:val="00897337"/>
    <w:rsid w:val="00897DEF"/>
    <w:rsid w:val="008A12FD"/>
    <w:rsid w:val="008A369B"/>
    <w:rsid w:val="008A3B1A"/>
    <w:rsid w:val="008A4648"/>
    <w:rsid w:val="008A4F8D"/>
    <w:rsid w:val="008A6251"/>
    <w:rsid w:val="008A71EA"/>
    <w:rsid w:val="008B080C"/>
    <w:rsid w:val="008B0935"/>
    <w:rsid w:val="008B0F6C"/>
    <w:rsid w:val="008B1D00"/>
    <w:rsid w:val="008B2B54"/>
    <w:rsid w:val="008B4FBD"/>
    <w:rsid w:val="008B5EA7"/>
    <w:rsid w:val="008B69AE"/>
    <w:rsid w:val="008B6D04"/>
    <w:rsid w:val="008B79CF"/>
    <w:rsid w:val="008C01CB"/>
    <w:rsid w:val="008C038E"/>
    <w:rsid w:val="008C1B3E"/>
    <w:rsid w:val="008C2825"/>
    <w:rsid w:val="008C2921"/>
    <w:rsid w:val="008C30FD"/>
    <w:rsid w:val="008C3A04"/>
    <w:rsid w:val="008C3BBE"/>
    <w:rsid w:val="008C45EC"/>
    <w:rsid w:val="008C4635"/>
    <w:rsid w:val="008C5E4A"/>
    <w:rsid w:val="008C67C6"/>
    <w:rsid w:val="008C6C01"/>
    <w:rsid w:val="008C6C85"/>
    <w:rsid w:val="008D1C6A"/>
    <w:rsid w:val="008D2D4A"/>
    <w:rsid w:val="008D30C5"/>
    <w:rsid w:val="008D346E"/>
    <w:rsid w:val="008D4052"/>
    <w:rsid w:val="008D470B"/>
    <w:rsid w:val="008D51CE"/>
    <w:rsid w:val="008D61F3"/>
    <w:rsid w:val="008D6820"/>
    <w:rsid w:val="008D7AAF"/>
    <w:rsid w:val="008D7DFE"/>
    <w:rsid w:val="008E05D4"/>
    <w:rsid w:val="008E06F8"/>
    <w:rsid w:val="008E088D"/>
    <w:rsid w:val="008E092E"/>
    <w:rsid w:val="008E0BF3"/>
    <w:rsid w:val="008E0DAD"/>
    <w:rsid w:val="008E0DB7"/>
    <w:rsid w:val="008E0EAC"/>
    <w:rsid w:val="008E11F1"/>
    <w:rsid w:val="008E176F"/>
    <w:rsid w:val="008E1A00"/>
    <w:rsid w:val="008E1FAD"/>
    <w:rsid w:val="008E20F5"/>
    <w:rsid w:val="008E2BA5"/>
    <w:rsid w:val="008E2E45"/>
    <w:rsid w:val="008E335F"/>
    <w:rsid w:val="008E3660"/>
    <w:rsid w:val="008E3AA7"/>
    <w:rsid w:val="008E41EF"/>
    <w:rsid w:val="008E4421"/>
    <w:rsid w:val="008E5282"/>
    <w:rsid w:val="008E530C"/>
    <w:rsid w:val="008E5B09"/>
    <w:rsid w:val="008E6559"/>
    <w:rsid w:val="008E6B46"/>
    <w:rsid w:val="008E6E47"/>
    <w:rsid w:val="008E6F27"/>
    <w:rsid w:val="008E77F9"/>
    <w:rsid w:val="008E793D"/>
    <w:rsid w:val="008F0514"/>
    <w:rsid w:val="008F0882"/>
    <w:rsid w:val="008F1A52"/>
    <w:rsid w:val="008F2799"/>
    <w:rsid w:val="008F27DD"/>
    <w:rsid w:val="008F29C7"/>
    <w:rsid w:val="008F2D87"/>
    <w:rsid w:val="008F39E5"/>
    <w:rsid w:val="008F3C60"/>
    <w:rsid w:val="008F3FA3"/>
    <w:rsid w:val="008F4486"/>
    <w:rsid w:val="008F4960"/>
    <w:rsid w:val="008F70D2"/>
    <w:rsid w:val="008F7F3C"/>
    <w:rsid w:val="00900181"/>
    <w:rsid w:val="00900732"/>
    <w:rsid w:val="0090215E"/>
    <w:rsid w:val="00902342"/>
    <w:rsid w:val="00902459"/>
    <w:rsid w:val="00902A55"/>
    <w:rsid w:val="00903696"/>
    <w:rsid w:val="00903DC1"/>
    <w:rsid w:val="0090440C"/>
    <w:rsid w:val="00904F75"/>
    <w:rsid w:val="009055AC"/>
    <w:rsid w:val="00905F0A"/>
    <w:rsid w:val="00906381"/>
    <w:rsid w:val="0091077A"/>
    <w:rsid w:val="00910A50"/>
    <w:rsid w:val="00911CE4"/>
    <w:rsid w:val="00911D8D"/>
    <w:rsid w:val="00911F09"/>
    <w:rsid w:val="0091277A"/>
    <w:rsid w:val="00912D8E"/>
    <w:rsid w:val="009132E9"/>
    <w:rsid w:val="00913A2D"/>
    <w:rsid w:val="00913B01"/>
    <w:rsid w:val="00913C2E"/>
    <w:rsid w:val="009144EB"/>
    <w:rsid w:val="00914BEE"/>
    <w:rsid w:val="0091563C"/>
    <w:rsid w:val="0091595A"/>
    <w:rsid w:val="00916647"/>
    <w:rsid w:val="0091739A"/>
    <w:rsid w:val="009175BB"/>
    <w:rsid w:val="0092112D"/>
    <w:rsid w:val="00922D3F"/>
    <w:rsid w:val="009261EE"/>
    <w:rsid w:val="0092664F"/>
    <w:rsid w:val="00926ACA"/>
    <w:rsid w:val="00926F3A"/>
    <w:rsid w:val="009307C4"/>
    <w:rsid w:val="009313A2"/>
    <w:rsid w:val="009315AF"/>
    <w:rsid w:val="00932664"/>
    <w:rsid w:val="00932AEB"/>
    <w:rsid w:val="00932BBF"/>
    <w:rsid w:val="00934555"/>
    <w:rsid w:val="009345C7"/>
    <w:rsid w:val="00934DC2"/>
    <w:rsid w:val="00935666"/>
    <w:rsid w:val="00935E8F"/>
    <w:rsid w:val="00940FA2"/>
    <w:rsid w:val="0094140E"/>
    <w:rsid w:val="00941D5F"/>
    <w:rsid w:val="00942BD3"/>
    <w:rsid w:val="00942F21"/>
    <w:rsid w:val="00942F5D"/>
    <w:rsid w:val="00943617"/>
    <w:rsid w:val="00943843"/>
    <w:rsid w:val="009441AD"/>
    <w:rsid w:val="00944213"/>
    <w:rsid w:val="0094493E"/>
    <w:rsid w:val="00944F8A"/>
    <w:rsid w:val="0094545B"/>
    <w:rsid w:val="00946013"/>
    <w:rsid w:val="00946066"/>
    <w:rsid w:val="00946339"/>
    <w:rsid w:val="00947A0F"/>
    <w:rsid w:val="00947CFD"/>
    <w:rsid w:val="00951776"/>
    <w:rsid w:val="00952412"/>
    <w:rsid w:val="00952833"/>
    <w:rsid w:val="00953A59"/>
    <w:rsid w:val="00953FE7"/>
    <w:rsid w:val="00954072"/>
    <w:rsid w:val="0095555D"/>
    <w:rsid w:val="009557EA"/>
    <w:rsid w:val="009563F4"/>
    <w:rsid w:val="00957892"/>
    <w:rsid w:val="00957C74"/>
    <w:rsid w:val="00960FE3"/>
    <w:rsid w:val="009620A9"/>
    <w:rsid w:val="009628E6"/>
    <w:rsid w:val="009629A7"/>
    <w:rsid w:val="009629D7"/>
    <w:rsid w:val="00964879"/>
    <w:rsid w:val="00964C8E"/>
    <w:rsid w:val="00965FE2"/>
    <w:rsid w:val="009679FA"/>
    <w:rsid w:val="009710CB"/>
    <w:rsid w:val="00972A23"/>
    <w:rsid w:val="00972AFA"/>
    <w:rsid w:val="0097363C"/>
    <w:rsid w:val="00973F1D"/>
    <w:rsid w:val="00974052"/>
    <w:rsid w:val="0097559E"/>
    <w:rsid w:val="00975950"/>
    <w:rsid w:val="00976839"/>
    <w:rsid w:val="00976883"/>
    <w:rsid w:val="0097695C"/>
    <w:rsid w:val="00980201"/>
    <w:rsid w:val="0098042D"/>
    <w:rsid w:val="009818FA"/>
    <w:rsid w:val="009826F2"/>
    <w:rsid w:val="009834CC"/>
    <w:rsid w:val="00983B6C"/>
    <w:rsid w:val="00984755"/>
    <w:rsid w:val="00985575"/>
    <w:rsid w:val="00987507"/>
    <w:rsid w:val="00987DB3"/>
    <w:rsid w:val="009905E1"/>
    <w:rsid w:val="0099193E"/>
    <w:rsid w:val="00991C6D"/>
    <w:rsid w:val="0099432E"/>
    <w:rsid w:val="0099530A"/>
    <w:rsid w:val="009955DE"/>
    <w:rsid w:val="009965F9"/>
    <w:rsid w:val="009970E2"/>
    <w:rsid w:val="009975A7"/>
    <w:rsid w:val="0099793B"/>
    <w:rsid w:val="009A1CC6"/>
    <w:rsid w:val="009A2688"/>
    <w:rsid w:val="009A2C3B"/>
    <w:rsid w:val="009A31BA"/>
    <w:rsid w:val="009A3AC4"/>
    <w:rsid w:val="009A3E05"/>
    <w:rsid w:val="009A4802"/>
    <w:rsid w:val="009A4E22"/>
    <w:rsid w:val="009A583D"/>
    <w:rsid w:val="009A6B68"/>
    <w:rsid w:val="009A6C21"/>
    <w:rsid w:val="009B0044"/>
    <w:rsid w:val="009B0141"/>
    <w:rsid w:val="009B044E"/>
    <w:rsid w:val="009B05D3"/>
    <w:rsid w:val="009B12E1"/>
    <w:rsid w:val="009B2E98"/>
    <w:rsid w:val="009B2F10"/>
    <w:rsid w:val="009B32AC"/>
    <w:rsid w:val="009B37A8"/>
    <w:rsid w:val="009B397B"/>
    <w:rsid w:val="009B3C38"/>
    <w:rsid w:val="009B594B"/>
    <w:rsid w:val="009B5D87"/>
    <w:rsid w:val="009B768C"/>
    <w:rsid w:val="009B7A43"/>
    <w:rsid w:val="009B7CDA"/>
    <w:rsid w:val="009C0A02"/>
    <w:rsid w:val="009C150E"/>
    <w:rsid w:val="009C1C81"/>
    <w:rsid w:val="009C2696"/>
    <w:rsid w:val="009C26C4"/>
    <w:rsid w:val="009C2ADC"/>
    <w:rsid w:val="009C3B13"/>
    <w:rsid w:val="009C4C63"/>
    <w:rsid w:val="009C4C69"/>
    <w:rsid w:val="009C5B15"/>
    <w:rsid w:val="009C5D10"/>
    <w:rsid w:val="009C5E96"/>
    <w:rsid w:val="009C5F09"/>
    <w:rsid w:val="009C6F59"/>
    <w:rsid w:val="009C710F"/>
    <w:rsid w:val="009D07E3"/>
    <w:rsid w:val="009D0FFE"/>
    <w:rsid w:val="009D1777"/>
    <w:rsid w:val="009D1836"/>
    <w:rsid w:val="009D1A47"/>
    <w:rsid w:val="009D223F"/>
    <w:rsid w:val="009D3079"/>
    <w:rsid w:val="009D3B22"/>
    <w:rsid w:val="009D4B72"/>
    <w:rsid w:val="009D5126"/>
    <w:rsid w:val="009D5599"/>
    <w:rsid w:val="009D57DB"/>
    <w:rsid w:val="009D6407"/>
    <w:rsid w:val="009D6F26"/>
    <w:rsid w:val="009E093B"/>
    <w:rsid w:val="009E0DF9"/>
    <w:rsid w:val="009E29A0"/>
    <w:rsid w:val="009E35FE"/>
    <w:rsid w:val="009E399C"/>
    <w:rsid w:val="009E3EFB"/>
    <w:rsid w:val="009E5BFD"/>
    <w:rsid w:val="009E62BC"/>
    <w:rsid w:val="009E6724"/>
    <w:rsid w:val="009E68C5"/>
    <w:rsid w:val="009E6DDA"/>
    <w:rsid w:val="009E7A3A"/>
    <w:rsid w:val="009E7C10"/>
    <w:rsid w:val="009F0562"/>
    <w:rsid w:val="009F0C8F"/>
    <w:rsid w:val="009F0F30"/>
    <w:rsid w:val="009F1111"/>
    <w:rsid w:val="009F1447"/>
    <w:rsid w:val="009F148E"/>
    <w:rsid w:val="009F1DAC"/>
    <w:rsid w:val="009F2F6A"/>
    <w:rsid w:val="009F305C"/>
    <w:rsid w:val="009F3BA8"/>
    <w:rsid w:val="009F47B0"/>
    <w:rsid w:val="009F5FE8"/>
    <w:rsid w:val="009F608D"/>
    <w:rsid w:val="009F6304"/>
    <w:rsid w:val="009F7FB5"/>
    <w:rsid w:val="00A00442"/>
    <w:rsid w:val="00A022AE"/>
    <w:rsid w:val="00A024AE"/>
    <w:rsid w:val="00A026C0"/>
    <w:rsid w:val="00A02C95"/>
    <w:rsid w:val="00A03BFE"/>
    <w:rsid w:val="00A03CF1"/>
    <w:rsid w:val="00A03F43"/>
    <w:rsid w:val="00A04ED5"/>
    <w:rsid w:val="00A05194"/>
    <w:rsid w:val="00A05DCD"/>
    <w:rsid w:val="00A06178"/>
    <w:rsid w:val="00A06709"/>
    <w:rsid w:val="00A0709B"/>
    <w:rsid w:val="00A0791A"/>
    <w:rsid w:val="00A07B72"/>
    <w:rsid w:val="00A1026D"/>
    <w:rsid w:val="00A105AC"/>
    <w:rsid w:val="00A1078A"/>
    <w:rsid w:val="00A10D99"/>
    <w:rsid w:val="00A12412"/>
    <w:rsid w:val="00A12785"/>
    <w:rsid w:val="00A13E02"/>
    <w:rsid w:val="00A14AD2"/>
    <w:rsid w:val="00A14CC0"/>
    <w:rsid w:val="00A15D60"/>
    <w:rsid w:val="00A16676"/>
    <w:rsid w:val="00A168FF"/>
    <w:rsid w:val="00A178EC"/>
    <w:rsid w:val="00A17F45"/>
    <w:rsid w:val="00A203FD"/>
    <w:rsid w:val="00A20A2D"/>
    <w:rsid w:val="00A20CFC"/>
    <w:rsid w:val="00A21191"/>
    <w:rsid w:val="00A21CC9"/>
    <w:rsid w:val="00A23275"/>
    <w:rsid w:val="00A23285"/>
    <w:rsid w:val="00A23300"/>
    <w:rsid w:val="00A23311"/>
    <w:rsid w:val="00A235FB"/>
    <w:rsid w:val="00A236C6"/>
    <w:rsid w:val="00A25582"/>
    <w:rsid w:val="00A27279"/>
    <w:rsid w:val="00A2754E"/>
    <w:rsid w:val="00A27A08"/>
    <w:rsid w:val="00A31D69"/>
    <w:rsid w:val="00A31D9D"/>
    <w:rsid w:val="00A31FC1"/>
    <w:rsid w:val="00A327BC"/>
    <w:rsid w:val="00A32C3D"/>
    <w:rsid w:val="00A32D49"/>
    <w:rsid w:val="00A335DE"/>
    <w:rsid w:val="00A34741"/>
    <w:rsid w:val="00A34D22"/>
    <w:rsid w:val="00A35F41"/>
    <w:rsid w:val="00A36EF5"/>
    <w:rsid w:val="00A41393"/>
    <w:rsid w:val="00A41D46"/>
    <w:rsid w:val="00A43318"/>
    <w:rsid w:val="00A44548"/>
    <w:rsid w:val="00A44E24"/>
    <w:rsid w:val="00A45469"/>
    <w:rsid w:val="00A46743"/>
    <w:rsid w:val="00A46D35"/>
    <w:rsid w:val="00A46D40"/>
    <w:rsid w:val="00A46F2E"/>
    <w:rsid w:val="00A47922"/>
    <w:rsid w:val="00A47BA9"/>
    <w:rsid w:val="00A47DA1"/>
    <w:rsid w:val="00A500B2"/>
    <w:rsid w:val="00A5173E"/>
    <w:rsid w:val="00A52642"/>
    <w:rsid w:val="00A52CD1"/>
    <w:rsid w:val="00A53818"/>
    <w:rsid w:val="00A541E8"/>
    <w:rsid w:val="00A551DE"/>
    <w:rsid w:val="00A55525"/>
    <w:rsid w:val="00A55CA3"/>
    <w:rsid w:val="00A55FD1"/>
    <w:rsid w:val="00A560E4"/>
    <w:rsid w:val="00A5610D"/>
    <w:rsid w:val="00A57EF4"/>
    <w:rsid w:val="00A61041"/>
    <w:rsid w:val="00A61BF1"/>
    <w:rsid w:val="00A62783"/>
    <w:rsid w:val="00A62D7A"/>
    <w:rsid w:val="00A63084"/>
    <w:rsid w:val="00A633E5"/>
    <w:rsid w:val="00A63939"/>
    <w:rsid w:val="00A63A89"/>
    <w:rsid w:val="00A63E82"/>
    <w:rsid w:val="00A642CE"/>
    <w:rsid w:val="00A64B5E"/>
    <w:rsid w:val="00A64FFF"/>
    <w:rsid w:val="00A65ACD"/>
    <w:rsid w:val="00A65D80"/>
    <w:rsid w:val="00A65EE5"/>
    <w:rsid w:val="00A66027"/>
    <w:rsid w:val="00A7175D"/>
    <w:rsid w:val="00A74C27"/>
    <w:rsid w:val="00A750A6"/>
    <w:rsid w:val="00A7528F"/>
    <w:rsid w:val="00A75A1A"/>
    <w:rsid w:val="00A77617"/>
    <w:rsid w:val="00A77867"/>
    <w:rsid w:val="00A80327"/>
    <w:rsid w:val="00A809AA"/>
    <w:rsid w:val="00A823B9"/>
    <w:rsid w:val="00A83328"/>
    <w:rsid w:val="00A8347D"/>
    <w:rsid w:val="00A83715"/>
    <w:rsid w:val="00A84968"/>
    <w:rsid w:val="00A84A37"/>
    <w:rsid w:val="00A84C7F"/>
    <w:rsid w:val="00A84EDE"/>
    <w:rsid w:val="00A8500E"/>
    <w:rsid w:val="00A85FFE"/>
    <w:rsid w:val="00A874D2"/>
    <w:rsid w:val="00A87554"/>
    <w:rsid w:val="00A8766F"/>
    <w:rsid w:val="00A87900"/>
    <w:rsid w:val="00A8792F"/>
    <w:rsid w:val="00A90162"/>
    <w:rsid w:val="00A91506"/>
    <w:rsid w:val="00A916D0"/>
    <w:rsid w:val="00A92EF4"/>
    <w:rsid w:val="00A933BD"/>
    <w:rsid w:val="00A934ED"/>
    <w:rsid w:val="00A936E4"/>
    <w:rsid w:val="00A941C7"/>
    <w:rsid w:val="00A9546F"/>
    <w:rsid w:val="00A95AAB"/>
    <w:rsid w:val="00A95B71"/>
    <w:rsid w:val="00A974B1"/>
    <w:rsid w:val="00AA00F3"/>
    <w:rsid w:val="00AA0426"/>
    <w:rsid w:val="00AA0E54"/>
    <w:rsid w:val="00AA0FF7"/>
    <w:rsid w:val="00AA12F0"/>
    <w:rsid w:val="00AA30B4"/>
    <w:rsid w:val="00AA395D"/>
    <w:rsid w:val="00AA44DD"/>
    <w:rsid w:val="00AA4697"/>
    <w:rsid w:val="00AA4AB9"/>
    <w:rsid w:val="00AA4CEB"/>
    <w:rsid w:val="00AA4EEC"/>
    <w:rsid w:val="00AA555A"/>
    <w:rsid w:val="00AA569E"/>
    <w:rsid w:val="00AA6239"/>
    <w:rsid w:val="00AA6B16"/>
    <w:rsid w:val="00AA7228"/>
    <w:rsid w:val="00AA72CD"/>
    <w:rsid w:val="00AB017F"/>
    <w:rsid w:val="00AB03CF"/>
    <w:rsid w:val="00AB0AE7"/>
    <w:rsid w:val="00AB25B8"/>
    <w:rsid w:val="00AB3DCC"/>
    <w:rsid w:val="00AB4BAA"/>
    <w:rsid w:val="00AB53A0"/>
    <w:rsid w:val="00AB54E9"/>
    <w:rsid w:val="00AB5585"/>
    <w:rsid w:val="00AB5C50"/>
    <w:rsid w:val="00AB5E98"/>
    <w:rsid w:val="00AB5EDE"/>
    <w:rsid w:val="00AB6612"/>
    <w:rsid w:val="00AB6872"/>
    <w:rsid w:val="00AB6B2F"/>
    <w:rsid w:val="00AB713C"/>
    <w:rsid w:val="00AB7CBE"/>
    <w:rsid w:val="00AC0E38"/>
    <w:rsid w:val="00AC0FDD"/>
    <w:rsid w:val="00AC1280"/>
    <w:rsid w:val="00AC285C"/>
    <w:rsid w:val="00AC3938"/>
    <w:rsid w:val="00AC3EDF"/>
    <w:rsid w:val="00AC3F10"/>
    <w:rsid w:val="00AC45C9"/>
    <w:rsid w:val="00AC4DD7"/>
    <w:rsid w:val="00AC63D2"/>
    <w:rsid w:val="00AC7E6A"/>
    <w:rsid w:val="00AD0747"/>
    <w:rsid w:val="00AD0BA2"/>
    <w:rsid w:val="00AD1450"/>
    <w:rsid w:val="00AD1FDB"/>
    <w:rsid w:val="00AD2A49"/>
    <w:rsid w:val="00AD3567"/>
    <w:rsid w:val="00AD418E"/>
    <w:rsid w:val="00AD4422"/>
    <w:rsid w:val="00AD49F8"/>
    <w:rsid w:val="00AD508B"/>
    <w:rsid w:val="00AD5AF1"/>
    <w:rsid w:val="00AD60BC"/>
    <w:rsid w:val="00AD7067"/>
    <w:rsid w:val="00AE10A9"/>
    <w:rsid w:val="00AE20E2"/>
    <w:rsid w:val="00AE3B87"/>
    <w:rsid w:val="00AE493D"/>
    <w:rsid w:val="00AE4AAE"/>
    <w:rsid w:val="00AE5B78"/>
    <w:rsid w:val="00AE6E89"/>
    <w:rsid w:val="00AE6E9F"/>
    <w:rsid w:val="00AF0513"/>
    <w:rsid w:val="00AF090B"/>
    <w:rsid w:val="00AF2084"/>
    <w:rsid w:val="00AF29E8"/>
    <w:rsid w:val="00AF32DB"/>
    <w:rsid w:val="00AF33A9"/>
    <w:rsid w:val="00AF3994"/>
    <w:rsid w:val="00AF3DC2"/>
    <w:rsid w:val="00AF5682"/>
    <w:rsid w:val="00AF581A"/>
    <w:rsid w:val="00AF5B40"/>
    <w:rsid w:val="00AF610E"/>
    <w:rsid w:val="00AF769D"/>
    <w:rsid w:val="00B00AB2"/>
    <w:rsid w:val="00B025DE"/>
    <w:rsid w:val="00B02B84"/>
    <w:rsid w:val="00B0378D"/>
    <w:rsid w:val="00B03BD9"/>
    <w:rsid w:val="00B0446E"/>
    <w:rsid w:val="00B04A2A"/>
    <w:rsid w:val="00B056BE"/>
    <w:rsid w:val="00B06D0B"/>
    <w:rsid w:val="00B07357"/>
    <w:rsid w:val="00B0750C"/>
    <w:rsid w:val="00B101D7"/>
    <w:rsid w:val="00B10589"/>
    <w:rsid w:val="00B1304E"/>
    <w:rsid w:val="00B13A5D"/>
    <w:rsid w:val="00B14070"/>
    <w:rsid w:val="00B14F94"/>
    <w:rsid w:val="00B159B6"/>
    <w:rsid w:val="00B16212"/>
    <w:rsid w:val="00B16D25"/>
    <w:rsid w:val="00B172F2"/>
    <w:rsid w:val="00B21099"/>
    <w:rsid w:val="00B21AC3"/>
    <w:rsid w:val="00B21F36"/>
    <w:rsid w:val="00B22DE2"/>
    <w:rsid w:val="00B22EB0"/>
    <w:rsid w:val="00B231E0"/>
    <w:rsid w:val="00B23429"/>
    <w:rsid w:val="00B236DB"/>
    <w:rsid w:val="00B23823"/>
    <w:rsid w:val="00B24B16"/>
    <w:rsid w:val="00B25236"/>
    <w:rsid w:val="00B2650A"/>
    <w:rsid w:val="00B270AC"/>
    <w:rsid w:val="00B2761F"/>
    <w:rsid w:val="00B27B46"/>
    <w:rsid w:val="00B27C05"/>
    <w:rsid w:val="00B3056F"/>
    <w:rsid w:val="00B30706"/>
    <w:rsid w:val="00B30DDB"/>
    <w:rsid w:val="00B3177B"/>
    <w:rsid w:val="00B31C9F"/>
    <w:rsid w:val="00B32CA0"/>
    <w:rsid w:val="00B32F19"/>
    <w:rsid w:val="00B33492"/>
    <w:rsid w:val="00B33C2D"/>
    <w:rsid w:val="00B3405F"/>
    <w:rsid w:val="00B34C3C"/>
    <w:rsid w:val="00B359C2"/>
    <w:rsid w:val="00B3605E"/>
    <w:rsid w:val="00B3609A"/>
    <w:rsid w:val="00B3684D"/>
    <w:rsid w:val="00B37FF1"/>
    <w:rsid w:val="00B406C6"/>
    <w:rsid w:val="00B40A12"/>
    <w:rsid w:val="00B415AF"/>
    <w:rsid w:val="00B41E41"/>
    <w:rsid w:val="00B42382"/>
    <w:rsid w:val="00B4275A"/>
    <w:rsid w:val="00B43594"/>
    <w:rsid w:val="00B44067"/>
    <w:rsid w:val="00B44071"/>
    <w:rsid w:val="00B440AE"/>
    <w:rsid w:val="00B4479C"/>
    <w:rsid w:val="00B44881"/>
    <w:rsid w:val="00B4581F"/>
    <w:rsid w:val="00B45A5E"/>
    <w:rsid w:val="00B45BD6"/>
    <w:rsid w:val="00B464DC"/>
    <w:rsid w:val="00B46C08"/>
    <w:rsid w:val="00B46DFE"/>
    <w:rsid w:val="00B50491"/>
    <w:rsid w:val="00B51BB8"/>
    <w:rsid w:val="00B5211C"/>
    <w:rsid w:val="00B54639"/>
    <w:rsid w:val="00B54AE4"/>
    <w:rsid w:val="00B54C0C"/>
    <w:rsid w:val="00B550D6"/>
    <w:rsid w:val="00B554A5"/>
    <w:rsid w:val="00B5709A"/>
    <w:rsid w:val="00B57B30"/>
    <w:rsid w:val="00B6029F"/>
    <w:rsid w:val="00B60513"/>
    <w:rsid w:val="00B60CC0"/>
    <w:rsid w:val="00B60F00"/>
    <w:rsid w:val="00B615D4"/>
    <w:rsid w:val="00B62815"/>
    <w:rsid w:val="00B633D3"/>
    <w:rsid w:val="00B639B0"/>
    <w:rsid w:val="00B63CF7"/>
    <w:rsid w:val="00B64351"/>
    <w:rsid w:val="00B6444A"/>
    <w:rsid w:val="00B6479B"/>
    <w:rsid w:val="00B64AFD"/>
    <w:rsid w:val="00B65645"/>
    <w:rsid w:val="00B65657"/>
    <w:rsid w:val="00B65749"/>
    <w:rsid w:val="00B6593E"/>
    <w:rsid w:val="00B65990"/>
    <w:rsid w:val="00B659D7"/>
    <w:rsid w:val="00B665BC"/>
    <w:rsid w:val="00B7093E"/>
    <w:rsid w:val="00B70C54"/>
    <w:rsid w:val="00B72055"/>
    <w:rsid w:val="00B72D49"/>
    <w:rsid w:val="00B73C4D"/>
    <w:rsid w:val="00B74C77"/>
    <w:rsid w:val="00B74EE7"/>
    <w:rsid w:val="00B7510E"/>
    <w:rsid w:val="00B754E7"/>
    <w:rsid w:val="00B7581E"/>
    <w:rsid w:val="00B75C47"/>
    <w:rsid w:val="00B75F79"/>
    <w:rsid w:val="00B772BF"/>
    <w:rsid w:val="00B773BD"/>
    <w:rsid w:val="00B77582"/>
    <w:rsid w:val="00B8178E"/>
    <w:rsid w:val="00B82A43"/>
    <w:rsid w:val="00B82B36"/>
    <w:rsid w:val="00B8325B"/>
    <w:rsid w:val="00B838F1"/>
    <w:rsid w:val="00B83BEA"/>
    <w:rsid w:val="00B8454C"/>
    <w:rsid w:val="00B85166"/>
    <w:rsid w:val="00B8670C"/>
    <w:rsid w:val="00B900E3"/>
    <w:rsid w:val="00B90F8F"/>
    <w:rsid w:val="00B9238E"/>
    <w:rsid w:val="00B932F4"/>
    <w:rsid w:val="00B9348E"/>
    <w:rsid w:val="00B9379D"/>
    <w:rsid w:val="00B93811"/>
    <w:rsid w:val="00B94C9F"/>
    <w:rsid w:val="00B95389"/>
    <w:rsid w:val="00B954E9"/>
    <w:rsid w:val="00B958D0"/>
    <w:rsid w:val="00B95E97"/>
    <w:rsid w:val="00B96C8C"/>
    <w:rsid w:val="00B97812"/>
    <w:rsid w:val="00B97E34"/>
    <w:rsid w:val="00BA0307"/>
    <w:rsid w:val="00BA03E2"/>
    <w:rsid w:val="00BA0689"/>
    <w:rsid w:val="00BA0937"/>
    <w:rsid w:val="00BA2D69"/>
    <w:rsid w:val="00BA37F4"/>
    <w:rsid w:val="00BA4665"/>
    <w:rsid w:val="00BA54C5"/>
    <w:rsid w:val="00BA5EC9"/>
    <w:rsid w:val="00BA60B2"/>
    <w:rsid w:val="00BA6A04"/>
    <w:rsid w:val="00BA6BC5"/>
    <w:rsid w:val="00BA704A"/>
    <w:rsid w:val="00BA770B"/>
    <w:rsid w:val="00BB0470"/>
    <w:rsid w:val="00BB04EB"/>
    <w:rsid w:val="00BB073F"/>
    <w:rsid w:val="00BB0FAE"/>
    <w:rsid w:val="00BB45D9"/>
    <w:rsid w:val="00BB499C"/>
    <w:rsid w:val="00BB563D"/>
    <w:rsid w:val="00BB61EC"/>
    <w:rsid w:val="00BB6C0B"/>
    <w:rsid w:val="00BB72D0"/>
    <w:rsid w:val="00BB74E2"/>
    <w:rsid w:val="00BC090B"/>
    <w:rsid w:val="00BC135B"/>
    <w:rsid w:val="00BC17ED"/>
    <w:rsid w:val="00BC38AC"/>
    <w:rsid w:val="00BC424B"/>
    <w:rsid w:val="00BC43DD"/>
    <w:rsid w:val="00BC4722"/>
    <w:rsid w:val="00BC4BE1"/>
    <w:rsid w:val="00BC5A97"/>
    <w:rsid w:val="00BC5BC9"/>
    <w:rsid w:val="00BC5EA0"/>
    <w:rsid w:val="00BC60D6"/>
    <w:rsid w:val="00BC6860"/>
    <w:rsid w:val="00BC6CA9"/>
    <w:rsid w:val="00BC7B58"/>
    <w:rsid w:val="00BD0AD0"/>
    <w:rsid w:val="00BD0BAB"/>
    <w:rsid w:val="00BD1615"/>
    <w:rsid w:val="00BD24EE"/>
    <w:rsid w:val="00BD27B6"/>
    <w:rsid w:val="00BD2EA6"/>
    <w:rsid w:val="00BD37A0"/>
    <w:rsid w:val="00BD482A"/>
    <w:rsid w:val="00BD5043"/>
    <w:rsid w:val="00BD572C"/>
    <w:rsid w:val="00BD65EC"/>
    <w:rsid w:val="00BD7AB2"/>
    <w:rsid w:val="00BD7C97"/>
    <w:rsid w:val="00BD7DF2"/>
    <w:rsid w:val="00BE0D56"/>
    <w:rsid w:val="00BE1860"/>
    <w:rsid w:val="00BE23B6"/>
    <w:rsid w:val="00BE327A"/>
    <w:rsid w:val="00BE32A8"/>
    <w:rsid w:val="00BE42BC"/>
    <w:rsid w:val="00BE4CD0"/>
    <w:rsid w:val="00BE50F3"/>
    <w:rsid w:val="00BE5530"/>
    <w:rsid w:val="00BE61A3"/>
    <w:rsid w:val="00BE753D"/>
    <w:rsid w:val="00BE771C"/>
    <w:rsid w:val="00BE781B"/>
    <w:rsid w:val="00BE7DA4"/>
    <w:rsid w:val="00BF054C"/>
    <w:rsid w:val="00BF0D3C"/>
    <w:rsid w:val="00BF0FE3"/>
    <w:rsid w:val="00BF15D3"/>
    <w:rsid w:val="00BF1718"/>
    <w:rsid w:val="00BF1E41"/>
    <w:rsid w:val="00BF20D1"/>
    <w:rsid w:val="00BF417C"/>
    <w:rsid w:val="00BF53BE"/>
    <w:rsid w:val="00BF587D"/>
    <w:rsid w:val="00BF5A81"/>
    <w:rsid w:val="00BF63C1"/>
    <w:rsid w:val="00BF6D4D"/>
    <w:rsid w:val="00BF7678"/>
    <w:rsid w:val="00C00579"/>
    <w:rsid w:val="00C006E8"/>
    <w:rsid w:val="00C019C2"/>
    <w:rsid w:val="00C0207C"/>
    <w:rsid w:val="00C032C0"/>
    <w:rsid w:val="00C034E4"/>
    <w:rsid w:val="00C03AAC"/>
    <w:rsid w:val="00C03B45"/>
    <w:rsid w:val="00C03C2E"/>
    <w:rsid w:val="00C045EA"/>
    <w:rsid w:val="00C0486B"/>
    <w:rsid w:val="00C054C5"/>
    <w:rsid w:val="00C05FB7"/>
    <w:rsid w:val="00C0655D"/>
    <w:rsid w:val="00C07C7C"/>
    <w:rsid w:val="00C07CCF"/>
    <w:rsid w:val="00C07F38"/>
    <w:rsid w:val="00C07FC7"/>
    <w:rsid w:val="00C112E2"/>
    <w:rsid w:val="00C12033"/>
    <w:rsid w:val="00C120AA"/>
    <w:rsid w:val="00C12451"/>
    <w:rsid w:val="00C1393D"/>
    <w:rsid w:val="00C13960"/>
    <w:rsid w:val="00C13F10"/>
    <w:rsid w:val="00C153FD"/>
    <w:rsid w:val="00C15D8F"/>
    <w:rsid w:val="00C16E1F"/>
    <w:rsid w:val="00C17D64"/>
    <w:rsid w:val="00C208BF"/>
    <w:rsid w:val="00C20BD3"/>
    <w:rsid w:val="00C21735"/>
    <w:rsid w:val="00C22407"/>
    <w:rsid w:val="00C23091"/>
    <w:rsid w:val="00C23A42"/>
    <w:rsid w:val="00C24B48"/>
    <w:rsid w:val="00C25065"/>
    <w:rsid w:val="00C25308"/>
    <w:rsid w:val="00C253B7"/>
    <w:rsid w:val="00C25674"/>
    <w:rsid w:val="00C25E0C"/>
    <w:rsid w:val="00C25F9F"/>
    <w:rsid w:val="00C274E1"/>
    <w:rsid w:val="00C30139"/>
    <w:rsid w:val="00C31841"/>
    <w:rsid w:val="00C323AF"/>
    <w:rsid w:val="00C32732"/>
    <w:rsid w:val="00C32808"/>
    <w:rsid w:val="00C32CB8"/>
    <w:rsid w:val="00C32DCD"/>
    <w:rsid w:val="00C33BD9"/>
    <w:rsid w:val="00C3585E"/>
    <w:rsid w:val="00C35ADB"/>
    <w:rsid w:val="00C36A86"/>
    <w:rsid w:val="00C36D8E"/>
    <w:rsid w:val="00C3733C"/>
    <w:rsid w:val="00C41044"/>
    <w:rsid w:val="00C43142"/>
    <w:rsid w:val="00C4413E"/>
    <w:rsid w:val="00C44599"/>
    <w:rsid w:val="00C46231"/>
    <w:rsid w:val="00C4712C"/>
    <w:rsid w:val="00C51CE2"/>
    <w:rsid w:val="00C5271F"/>
    <w:rsid w:val="00C52B88"/>
    <w:rsid w:val="00C52EB9"/>
    <w:rsid w:val="00C530E7"/>
    <w:rsid w:val="00C53403"/>
    <w:rsid w:val="00C5433B"/>
    <w:rsid w:val="00C54793"/>
    <w:rsid w:val="00C56047"/>
    <w:rsid w:val="00C56632"/>
    <w:rsid w:val="00C56EDE"/>
    <w:rsid w:val="00C571F3"/>
    <w:rsid w:val="00C57334"/>
    <w:rsid w:val="00C6234A"/>
    <w:rsid w:val="00C62B73"/>
    <w:rsid w:val="00C64A47"/>
    <w:rsid w:val="00C6511C"/>
    <w:rsid w:val="00C65945"/>
    <w:rsid w:val="00C66219"/>
    <w:rsid w:val="00C678CC"/>
    <w:rsid w:val="00C724CA"/>
    <w:rsid w:val="00C73D82"/>
    <w:rsid w:val="00C74827"/>
    <w:rsid w:val="00C751B9"/>
    <w:rsid w:val="00C752C2"/>
    <w:rsid w:val="00C7570F"/>
    <w:rsid w:val="00C76104"/>
    <w:rsid w:val="00C76957"/>
    <w:rsid w:val="00C77D8D"/>
    <w:rsid w:val="00C81238"/>
    <w:rsid w:val="00C814E4"/>
    <w:rsid w:val="00C81528"/>
    <w:rsid w:val="00C81E3B"/>
    <w:rsid w:val="00C825DD"/>
    <w:rsid w:val="00C83276"/>
    <w:rsid w:val="00C83306"/>
    <w:rsid w:val="00C83CE3"/>
    <w:rsid w:val="00C84570"/>
    <w:rsid w:val="00C85008"/>
    <w:rsid w:val="00C85633"/>
    <w:rsid w:val="00C8566F"/>
    <w:rsid w:val="00C8592A"/>
    <w:rsid w:val="00C85F21"/>
    <w:rsid w:val="00C86D08"/>
    <w:rsid w:val="00C86EF4"/>
    <w:rsid w:val="00C9098E"/>
    <w:rsid w:val="00C91880"/>
    <w:rsid w:val="00C935A0"/>
    <w:rsid w:val="00C93725"/>
    <w:rsid w:val="00C9454D"/>
    <w:rsid w:val="00C94619"/>
    <w:rsid w:val="00C94706"/>
    <w:rsid w:val="00C948C5"/>
    <w:rsid w:val="00C96E3D"/>
    <w:rsid w:val="00C9780B"/>
    <w:rsid w:val="00CA0AE3"/>
    <w:rsid w:val="00CA1041"/>
    <w:rsid w:val="00CA2975"/>
    <w:rsid w:val="00CA2D8A"/>
    <w:rsid w:val="00CA362E"/>
    <w:rsid w:val="00CA3B22"/>
    <w:rsid w:val="00CA4414"/>
    <w:rsid w:val="00CA4CCF"/>
    <w:rsid w:val="00CA4CFA"/>
    <w:rsid w:val="00CA6806"/>
    <w:rsid w:val="00CA680B"/>
    <w:rsid w:val="00CA76D1"/>
    <w:rsid w:val="00CB0290"/>
    <w:rsid w:val="00CB077C"/>
    <w:rsid w:val="00CB1CC3"/>
    <w:rsid w:val="00CB1F6E"/>
    <w:rsid w:val="00CB2002"/>
    <w:rsid w:val="00CB20DC"/>
    <w:rsid w:val="00CB3577"/>
    <w:rsid w:val="00CB46A1"/>
    <w:rsid w:val="00CB535C"/>
    <w:rsid w:val="00CB5EDD"/>
    <w:rsid w:val="00CB64B5"/>
    <w:rsid w:val="00CC0818"/>
    <w:rsid w:val="00CC1A52"/>
    <w:rsid w:val="00CC2CFD"/>
    <w:rsid w:val="00CC3B65"/>
    <w:rsid w:val="00CC4409"/>
    <w:rsid w:val="00CC49D3"/>
    <w:rsid w:val="00CC5B43"/>
    <w:rsid w:val="00CC5C1B"/>
    <w:rsid w:val="00CC69CF"/>
    <w:rsid w:val="00CC6BC5"/>
    <w:rsid w:val="00CC723D"/>
    <w:rsid w:val="00CD0882"/>
    <w:rsid w:val="00CD0C0B"/>
    <w:rsid w:val="00CD0DDF"/>
    <w:rsid w:val="00CD1A23"/>
    <w:rsid w:val="00CD1A6C"/>
    <w:rsid w:val="00CD233A"/>
    <w:rsid w:val="00CD2750"/>
    <w:rsid w:val="00CD2AF4"/>
    <w:rsid w:val="00CD4368"/>
    <w:rsid w:val="00CD447D"/>
    <w:rsid w:val="00CD5519"/>
    <w:rsid w:val="00CD5E28"/>
    <w:rsid w:val="00CD6418"/>
    <w:rsid w:val="00CD699F"/>
    <w:rsid w:val="00CD6A57"/>
    <w:rsid w:val="00CE02F4"/>
    <w:rsid w:val="00CE0717"/>
    <w:rsid w:val="00CE1B4D"/>
    <w:rsid w:val="00CE1E9F"/>
    <w:rsid w:val="00CE1F2E"/>
    <w:rsid w:val="00CE2F8A"/>
    <w:rsid w:val="00CE34AB"/>
    <w:rsid w:val="00CE3D4C"/>
    <w:rsid w:val="00CE4A68"/>
    <w:rsid w:val="00CE4AC3"/>
    <w:rsid w:val="00CE5A01"/>
    <w:rsid w:val="00CE5E2E"/>
    <w:rsid w:val="00CE62EB"/>
    <w:rsid w:val="00CE6A4A"/>
    <w:rsid w:val="00CE6BDF"/>
    <w:rsid w:val="00CE7497"/>
    <w:rsid w:val="00CF037C"/>
    <w:rsid w:val="00CF0E16"/>
    <w:rsid w:val="00CF24A4"/>
    <w:rsid w:val="00CF27A0"/>
    <w:rsid w:val="00CF2A51"/>
    <w:rsid w:val="00CF35A0"/>
    <w:rsid w:val="00CF4079"/>
    <w:rsid w:val="00CF4145"/>
    <w:rsid w:val="00CF46EB"/>
    <w:rsid w:val="00CF4DB6"/>
    <w:rsid w:val="00CF4E17"/>
    <w:rsid w:val="00CF54A5"/>
    <w:rsid w:val="00CF5D1F"/>
    <w:rsid w:val="00CF5DBB"/>
    <w:rsid w:val="00D00473"/>
    <w:rsid w:val="00D00771"/>
    <w:rsid w:val="00D0108A"/>
    <w:rsid w:val="00D017D1"/>
    <w:rsid w:val="00D01F00"/>
    <w:rsid w:val="00D02B54"/>
    <w:rsid w:val="00D02CD1"/>
    <w:rsid w:val="00D03707"/>
    <w:rsid w:val="00D03C14"/>
    <w:rsid w:val="00D04850"/>
    <w:rsid w:val="00D05E0E"/>
    <w:rsid w:val="00D05F41"/>
    <w:rsid w:val="00D06690"/>
    <w:rsid w:val="00D06DB0"/>
    <w:rsid w:val="00D07476"/>
    <w:rsid w:val="00D0777C"/>
    <w:rsid w:val="00D1056B"/>
    <w:rsid w:val="00D10B63"/>
    <w:rsid w:val="00D117DC"/>
    <w:rsid w:val="00D122AB"/>
    <w:rsid w:val="00D129E0"/>
    <w:rsid w:val="00D12BDF"/>
    <w:rsid w:val="00D12C0F"/>
    <w:rsid w:val="00D13327"/>
    <w:rsid w:val="00D134A6"/>
    <w:rsid w:val="00D13583"/>
    <w:rsid w:val="00D146A1"/>
    <w:rsid w:val="00D15DC2"/>
    <w:rsid w:val="00D16DF6"/>
    <w:rsid w:val="00D177F4"/>
    <w:rsid w:val="00D177FC"/>
    <w:rsid w:val="00D20C38"/>
    <w:rsid w:val="00D22124"/>
    <w:rsid w:val="00D23F0C"/>
    <w:rsid w:val="00D24104"/>
    <w:rsid w:val="00D258CF"/>
    <w:rsid w:val="00D27B45"/>
    <w:rsid w:val="00D30099"/>
    <w:rsid w:val="00D302CD"/>
    <w:rsid w:val="00D30A6B"/>
    <w:rsid w:val="00D3151A"/>
    <w:rsid w:val="00D3294B"/>
    <w:rsid w:val="00D3332C"/>
    <w:rsid w:val="00D3347F"/>
    <w:rsid w:val="00D34CF1"/>
    <w:rsid w:val="00D34EA9"/>
    <w:rsid w:val="00D34EAD"/>
    <w:rsid w:val="00D35089"/>
    <w:rsid w:val="00D351FF"/>
    <w:rsid w:val="00D35378"/>
    <w:rsid w:val="00D36EA0"/>
    <w:rsid w:val="00D40A9B"/>
    <w:rsid w:val="00D42F9A"/>
    <w:rsid w:val="00D43B0B"/>
    <w:rsid w:val="00D442DE"/>
    <w:rsid w:val="00D468B3"/>
    <w:rsid w:val="00D47428"/>
    <w:rsid w:val="00D47548"/>
    <w:rsid w:val="00D477B1"/>
    <w:rsid w:val="00D47A61"/>
    <w:rsid w:val="00D47B0E"/>
    <w:rsid w:val="00D47EAF"/>
    <w:rsid w:val="00D50A90"/>
    <w:rsid w:val="00D51105"/>
    <w:rsid w:val="00D51B85"/>
    <w:rsid w:val="00D52867"/>
    <w:rsid w:val="00D52A0B"/>
    <w:rsid w:val="00D5300C"/>
    <w:rsid w:val="00D533E4"/>
    <w:rsid w:val="00D54476"/>
    <w:rsid w:val="00D546B0"/>
    <w:rsid w:val="00D548DE"/>
    <w:rsid w:val="00D54E65"/>
    <w:rsid w:val="00D551C3"/>
    <w:rsid w:val="00D5539D"/>
    <w:rsid w:val="00D55B4A"/>
    <w:rsid w:val="00D574EF"/>
    <w:rsid w:val="00D57F46"/>
    <w:rsid w:val="00D60614"/>
    <w:rsid w:val="00D615C4"/>
    <w:rsid w:val="00D61E66"/>
    <w:rsid w:val="00D626B3"/>
    <w:rsid w:val="00D62AA0"/>
    <w:rsid w:val="00D62FF4"/>
    <w:rsid w:val="00D63ACE"/>
    <w:rsid w:val="00D64164"/>
    <w:rsid w:val="00D64ED0"/>
    <w:rsid w:val="00D64F70"/>
    <w:rsid w:val="00D64F79"/>
    <w:rsid w:val="00D65D4E"/>
    <w:rsid w:val="00D6728C"/>
    <w:rsid w:val="00D67D12"/>
    <w:rsid w:val="00D706D6"/>
    <w:rsid w:val="00D7097E"/>
    <w:rsid w:val="00D70C0D"/>
    <w:rsid w:val="00D71233"/>
    <w:rsid w:val="00D72761"/>
    <w:rsid w:val="00D72CB5"/>
    <w:rsid w:val="00D740FA"/>
    <w:rsid w:val="00D743EB"/>
    <w:rsid w:val="00D7544E"/>
    <w:rsid w:val="00D756B3"/>
    <w:rsid w:val="00D76B1A"/>
    <w:rsid w:val="00D8013A"/>
    <w:rsid w:val="00D802B5"/>
    <w:rsid w:val="00D8030B"/>
    <w:rsid w:val="00D811AF"/>
    <w:rsid w:val="00D813BA"/>
    <w:rsid w:val="00D8143C"/>
    <w:rsid w:val="00D81933"/>
    <w:rsid w:val="00D81D28"/>
    <w:rsid w:val="00D82388"/>
    <w:rsid w:val="00D832BA"/>
    <w:rsid w:val="00D84983"/>
    <w:rsid w:val="00D85305"/>
    <w:rsid w:val="00D855F8"/>
    <w:rsid w:val="00D8663E"/>
    <w:rsid w:val="00D867D7"/>
    <w:rsid w:val="00D869A9"/>
    <w:rsid w:val="00D87A05"/>
    <w:rsid w:val="00D87B32"/>
    <w:rsid w:val="00D87F1D"/>
    <w:rsid w:val="00D92911"/>
    <w:rsid w:val="00D93851"/>
    <w:rsid w:val="00D93FBF"/>
    <w:rsid w:val="00D94AAD"/>
    <w:rsid w:val="00D95D77"/>
    <w:rsid w:val="00D96CBC"/>
    <w:rsid w:val="00D96F51"/>
    <w:rsid w:val="00D97F01"/>
    <w:rsid w:val="00D97FDB"/>
    <w:rsid w:val="00DA006D"/>
    <w:rsid w:val="00DA06A3"/>
    <w:rsid w:val="00DA06E3"/>
    <w:rsid w:val="00DA1A96"/>
    <w:rsid w:val="00DA2F31"/>
    <w:rsid w:val="00DA32A8"/>
    <w:rsid w:val="00DA57CC"/>
    <w:rsid w:val="00DA58E5"/>
    <w:rsid w:val="00DA5FE2"/>
    <w:rsid w:val="00DA659D"/>
    <w:rsid w:val="00DA6B7A"/>
    <w:rsid w:val="00DA7264"/>
    <w:rsid w:val="00DA7747"/>
    <w:rsid w:val="00DB0190"/>
    <w:rsid w:val="00DB01BC"/>
    <w:rsid w:val="00DB06FE"/>
    <w:rsid w:val="00DB0F06"/>
    <w:rsid w:val="00DB0FAE"/>
    <w:rsid w:val="00DB103E"/>
    <w:rsid w:val="00DB1E79"/>
    <w:rsid w:val="00DB3266"/>
    <w:rsid w:val="00DB3957"/>
    <w:rsid w:val="00DB47FC"/>
    <w:rsid w:val="00DB5D64"/>
    <w:rsid w:val="00DB633A"/>
    <w:rsid w:val="00DB718F"/>
    <w:rsid w:val="00DB7398"/>
    <w:rsid w:val="00DB744F"/>
    <w:rsid w:val="00DC0776"/>
    <w:rsid w:val="00DC1968"/>
    <w:rsid w:val="00DC237D"/>
    <w:rsid w:val="00DC2B65"/>
    <w:rsid w:val="00DC2F85"/>
    <w:rsid w:val="00DC3004"/>
    <w:rsid w:val="00DC3284"/>
    <w:rsid w:val="00DC380F"/>
    <w:rsid w:val="00DC447D"/>
    <w:rsid w:val="00DC51F4"/>
    <w:rsid w:val="00DC7002"/>
    <w:rsid w:val="00DC7692"/>
    <w:rsid w:val="00DC7827"/>
    <w:rsid w:val="00DC799B"/>
    <w:rsid w:val="00DC7E54"/>
    <w:rsid w:val="00DD01D9"/>
    <w:rsid w:val="00DD076B"/>
    <w:rsid w:val="00DD0967"/>
    <w:rsid w:val="00DD1C69"/>
    <w:rsid w:val="00DD26A8"/>
    <w:rsid w:val="00DD2CA9"/>
    <w:rsid w:val="00DD2DD3"/>
    <w:rsid w:val="00DD2F69"/>
    <w:rsid w:val="00DD30D9"/>
    <w:rsid w:val="00DD33A5"/>
    <w:rsid w:val="00DD42FF"/>
    <w:rsid w:val="00DD4AD9"/>
    <w:rsid w:val="00DD4E60"/>
    <w:rsid w:val="00DD507C"/>
    <w:rsid w:val="00DD5B43"/>
    <w:rsid w:val="00DD5D77"/>
    <w:rsid w:val="00DD603A"/>
    <w:rsid w:val="00DD6E09"/>
    <w:rsid w:val="00DD72CF"/>
    <w:rsid w:val="00DD7607"/>
    <w:rsid w:val="00DD78DA"/>
    <w:rsid w:val="00DE1534"/>
    <w:rsid w:val="00DE19A9"/>
    <w:rsid w:val="00DE2B43"/>
    <w:rsid w:val="00DE2D18"/>
    <w:rsid w:val="00DE3308"/>
    <w:rsid w:val="00DE36C2"/>
    <w:rsid w:val="00DE3D52"/>
    <w:rsid w:val="00DE4ED8"/>
    <w:rsid w:val="00DE503F"/>
    <w:rsid w:val="00DE74E0"/>
    <w:rsid w:val="00DF0793"/>
    <w:rsid w:val="00DF09F1"/>
    <w:rsid w:val="00DF20A7"/>
    <w:rsid w:val="00DF31B7"/>
    <w:rsid w:val="00DF3CDC"/>
    <w:rsid w:val="00DF4524"/>
    <w:rsid w:val="00DF50A5"/>
    <w:rsid w:val="00DF62C7"/>
    <w:rsid w:val="00DF66E2"/>
    <w:rsid w:val="00DF6D7F"/>
    <w:rsid w:val="00DF6F72"/>
    <w:rsid w:val="00DF730A"/>
    <w:rsid w:val="00DF7E2D"/>
    <w:rsid w:val="00E002E2"/>
    <w:rsid w:val="00E009C0"/>
    <w:rsid w:val="00E00F74"/>
    <w:rsid w:val="00E02848"/>
    <w:rsid w:val="00E02BC4"/>
    <w:rsid w:val="00E02D23"/>
    <w:rsid w:val="00E02F9C"/>
    <w:rsid w:val="00E0327B"/>
    <w:rsid w:val="00E037E6"/>
    <w:rsid w:val="00E03C7C"/>
    <w:rsid w:val="00E03FF8"/>
    <w:rsid w:val="00E046F3"/>
    <w:rsid w:val="00E051F2"/>
    <w:rsid w:val="00E055F9"/>
    <w:rsid w:val="00E0639C"/>
    <w:rsid w:val="00E06404"/>
    <w:rsid w:val="00E069CA"/>
    <w:rsid w:val="00E06E38"/>
    <w:rsid w:val="00E07205"/>
    <w:rsid w:val="00E10C73"/>
    <w:rsid w:val="00E111EE"/>
    <w:rsid w:val="00E11F3B"/>
    <w:rsid w:val="00E14008"/>
    <w:rsid w:val="00E14AD0"/>
    <w:rsid w:val="00E15444"/>
    <w:rsid w:val="00E15BA4"/>
    <w:rsid w:val="00E1602A"/>
    <w:rsid w:val="00E1640B"/>
    <w:rsid w:val="00E16604"/>
    <w:rsid w:val="00E1692C"/>
    <w:rsid w:val="00E206C1"/>
    <w:rsid w:val="00E219B0"/>
    <w:rsid w:val="00E219CB"/>
    <w:rsid w:val="00E22A71"/>
    <w:rsid w:val="00E23EEA"/>
    <w:rsid w:val="00E24CB9"/>
    <w:rsid w:val="00E24EC7"/>
    <w:rsid w:val="00E24ED5"/>
    <w:rsid w:val="00E2502D"/>
    <w:rsid w:val="00E2506C"/>
    <w:rsid w:val="00E25483"/>
    <w:rsid w:val="00E25E5D"/>
    <w:rsid w:val="00E26DA3"/>
    <w:rsid w:val="00E26DD0"/>
    <w:rsid w:val="00E271AC"/>
    <w:rsid w:val="00E2721D"/>
    <w:rsid w:val="00E277EA"/>
    <w:rsid w:val="00E30035"/>
    <w:rsid w:val="00E30134"/>
    <w:rsid w:val="00E30154"/>
    <w:rsid w:val="00E306C9"/>
    <w:rsid w:val="00E30784"/>
    <w:rsid w:val="00E30969"/>
    <w:rsid w:val="00E309CA"/>
    <w:rsid w:val="00E30E4B"/>
    <w:rsid w:val="00E31385"/>
    <w:rsid w:val="00E3151D"/>
    <w:rsid w:val="00E321D5"/>
    <w:rsid w:val="00E325D9"/>
    <w:rsid w:val="00E3310F"/>
    <w:rsid w:val="00E331BF"/>
    <w:rsid w:val="00E33B4A"/>
    <w:rsid w:val="00E3433E"/>
    <w:rsid w:val="00E34436"/>
    <w:rsid w:val="00E36B7E"/>
    <w:rsid w:val="00E40843"/>
    <w:rsid w:val="00E40BE0"/>
    <w:rsid w:val="00E453F9"/>
    <w:rsid w:val="00E457D2"/>
    <w:rsid w:val="00E45AF8"/>
    <w:rsid w:val="00E46421"/>
    <w:rsid w:val="00E465BD"/>
    <w:rsid w:val="00E46AE9"/>
    <w:rsid w:val="00E47523"/>
    <w:rsid w:val="00E516AE"/>
    <w:rsid w:val="00E51E4E"/>
    <w:rsid w:val="00E51F55"/>
    <w:rsid w:val="00E52497"/>
    <w:rsid w:val="00E528A0"/>
    <w:rsid w:val="00E53B85"/>
    <w:rsid w:val="00E54064"/>
    <w:rsid w:val="00E565BB"/>
    <w:rsid w:val="00E578D5"/>
    <w:rsid w:val="00E578F9"/>
    <w:rsid w:val="00E60261"/>
    <w:rsid w:val="00E60E6B"/>
    <w:rsid w:val="00E61BB1"/>
    <w:rsid w:val="00E62262"/>
    <w:rsid w:val="00E622AA"/>
    <w:rsid w:val="00E62E8D"/>
    <w:rsid w:val="00E633D4"/>
    <w:rsid w:val="00E63437"/>
    <w:rsid w:val="00E63D7D"/>
    <w:rsid w:val="00E64964"/>
    <w:rsid w:val="00E6503E"/>
    <w:rsid w:val="00E65053"/>
    <w:rsid w:val="00E6582E"/>
    <w:rsid w:val="00E66EED"/>
    <w:rsid w:val="00E67542"/>
    <w:rsid w:val="00E70AC3"/>
    <w:rsid w:val="00E71B44"/>
    <w:rsid w:val="00E720F6"/>
    <w:rsid w:val="00E72A86"/>
    <w:rsid w:val="00E72EAA"/>
    <w:rsid w:val="00E734F7"/>
    <w:rsid w:val="00E746BF"/>
    <w:rsid w:val="00E74AFD"/>
    <w:rsid w:val="00E74EAB"/>
    <w:rsid w:val="00E759FE"/>
    <w:rsid w:val="00E76306"/>
    <w:rsid w:val="00E76C2A"/>
    <w:rsid w:val="00E76EE0"/>
    <w:rsid w:val="00E774CD"/>
    <w:rsid w:val="00E8129F"/>
    <w:rsid w:val="00E81AB4"/>
    <w:rsid w:val="00E82699"/>
    <w:rsid w:val="00E82BA3"/>
    <w:rsid w:val="00E82FAF"/>
    <w:rsid w:val="00E83799"/>
    <w:rsid w:val="00E83B31"/>
    <w:rsid w:val="00E83CF9"/>
    <w:rsid w:val="00E83F05"/>
    <w:rsid w:val="00E83F5C"/>
    <w:rsid w:val="00E840B5"/>
    <w:rsid w:val="00E84DD5"/>
    <w:rsid w:val="00E85222"/>
    <w:rsid w:val="00E8560E"/>
    <w:rsid w:val="00E858B8"/>
    <w:rsid w:val="00E87A0D"/>
    <w:rsid w:val="00E90F0B"/>
    <w:rsid w:val="00E91450"/>
    <w:rsid w:val="00E91646"/>
    <w:rsid w:val="00E91B87"/>
    <w:rsid w:val="00E922E6"/>
    <w:rsid w:val="00E92CD3"/>
    <w:rsid w:val="00E9319B"/>
    <w:rsid w:val="00E94C13"/>
    <w:rsid w:val="00E94F43"/>
    <w:rsid w:val="00E9536D"/>
    <w:rsid w:val="00E953AA"/>
    <w:rsid w:val="00E96767"/>
    <w:rsid w:val="00E96988"/>
    <w:rsid w:val="00E96BD8"/>
    <w:rsid w:val="00E97617"/>
    <w:rsid w:val="00E97AEE"/>
    <w:rsid w:val="00EA07D0"/>
    <w:rsid w:val="00EA1213"/>
    <w:rsid w:val="00EA18F7"/>
    <w:rsid w:val="00EA24E3"/>
    <w:rsid w:val="00EA2C3D"/>
    <w:rsid w:val="00EA31D5"/>
    <w:rsid w:val="00EA36D5"/>
    <w:rsid w:val="00EA37E2"/>
    <w:rsid w:val="00EA4B82"/>
    <w:rsid w:val="00EA4D5D"/>
    <w:rsid w:val="00EA5219"/>
    <w:rsid w:val="00EA58D6"/>
    <w:rsid w:val="00EA6409"/>
    <w:rsid w:val="00EA7C2F"/>
    <w:rsid w:val="00EB1DA1"/>
    <w:rsid w:val="00EB3199"/>
    <w:rsid w:val="00EB35A9"/>
    <w:rsid w:val="00EB3A1B"/>
    <w:rsid w:val="00EB3F92"/>
    <w:rsid w:val="00EB41B5"/>
    <w:rsid w:val="00EB46B7"/>
    <w:rsid w:val="00EB56C2"/>
    <w:rsid w:val="00EB5E46"/>
    <w:rsid w:val="00EB7A1E"/>
    <w:rsid w:val="00EC0F2B"/>
    <w:rsid w:val="00EC1B9A"/>
    <w:rsid w:val="00EC1FE3"/>
    <w:rsid w:val="00EC2619"/>
    <w:rsid w:val="00EC262E"/>
    <w:rsid w:val="00EC297D"/>
    <w:rsid w:val="00EC378F"/>
    <w:rsid w:val="00EC49B9"/>
    <w:rsid w:val="00EC5418"/>
    <w:rsid w:val="00EC5574"/>
    <w:rsid w:val="00EC57BF"/>
    <w:rsid w:val="00EC5D01"/>
    <w:rsid w:val="00EC6A0C"/>
    <w:rsid w:val="00EC6F39"/>
    <w:rsid w:val="00EC701E"/>
    <w:rsid w:val="00EC7B71"/>
    <w:rsid w:val="00EC7F89"/>
    <w:rsid w:val="00ED12DC"/>
    <w:rsid w:val="00ED14B4"/>
    <w:rsid w:val="00ED1F94"/>
    <w:rsid w:val="00ED218A"/>
    <w:rsid w:val="00ED2BD2"/>
    <w:rsid w:val="00ED2DFC"/>
    <w:rsid w:val="00ED3D6D"/>
    <w:rsid w:val="00ED3D98"/>
    <w:rsid w:val="00ED4B55"/>
    <w:rsid w:val="00ED5678"/>
    <w:rsid w:val="00ED5ADE"/>
    <w:rsid w:val="00ED5AF7"/>
    <w:rsid w:val="00ED67AA"/>
    <w:rsid w:val="00ED6B2B"/>
    <w:rsid w:val="00ED6C87"/>
    <w:rsid w:val="00ED7036"/>
    <w:rsid w:val="00EE00EF"/>
    <w:rsid w:val="00EE2226"/>
    <w:rsid w:val="00EE330D"/>
    <w:rsid w:val="00EE3994"/>
    <w:rsid w:val="00EE3AEA"/>
    <w:rsid w:val="00EE46B9"/>
    <w:rsid w:val="00EE4BBB"/>
    <w:rsid w:val="00EE607F"/>
    <w:rsid w:val="00EE6200"/>
    <w:rsid w:val="00EE734A"/>
    <w:rsid w:val="00EF1F78"/>
    <w:rsid w:val="00EF2698"/>
    <w:rsid w:val="00EF3236"/>
    <w:rsid w:val="00EF3906"/>
    <w:rsid w:val="00EF3919"/>
    <w:rsid w:val="00EF3AC1"/>
    <w:rsid w:val="00EF4C57"/>
    <w:rsid w:val="00EF6675"/>
    <w:rsid w:val="00EF6C57"/>
    <w:rsid w:val="00EF6FEA"/>
    <w:rsid w:val="00EF7007"/>
    <w:rsid w:val="00EF73DB"/>
    <w:rsid w:val="00EF7503"/>
    <w:rsid w:val="00EF7562"/>
    <w:rsid w:val="00EF7A75"/>
    <w:rsid w:val="00EF7B84"/>
    <w:rsid w:val="00EF7CD2"/>
    <w:rsid w:val="00F001A9"/>
    <w:rsid w:val="00F02A00"/>
    <w:rsid w:val="00F02B89"/>
    <w:rsid w:val="00F038C5"/>
    <w:rsid w:val="00F04355"/>
    <w:rsid w:val="00F04632"/>
    <w:rsid w:val="00F06953"/>
    <w:rsid w:val="00F06F9E"/>
    <w:rsid w:val="00F100DE"/>
    <w:rsid w:val="00F103E5"/>
    <w:rsid w:val="00F117E9"/>
    <w:rsid w:val="00F11F7E"/>
    <w:rsid w:val="00F12C8B"/>
    <w:rsid w:val="00F14251"/>
    <w:rsid w:val="00F142A9"/>
    <w:rsid w:val="00F151E0"/>
    <w:rsid w:val="00F15F0B"/>
    <w:rsid w:val="00F165EF"/>
    <w:rsid w:val="00F16B60"/>
    <w:rsid w:val="00F1780F"/>
    <w:rsid w:val="00F17917"/>
    <w:rsid w:val="00F202D5"/>
    <w:rsid w:val="00F21C64"/>
    <w:rsid w:val="00F23D70"/>
    <w:rsid w:val="00F24010"/>
    <w:rsid w:val="00F246CF"/>
    <w:rsid w:val="00F25568"/>
    <w:rsid w:val="00F25C0E"/>
    <w:rsid w:val="00F2645F"/>
    <w:rsid w:val="00F2678B"/>
    <w:rsid w:val="00F26ABE"/>
    <w:rsid w:val="00F26FFF"/>
    <w:rsid w:val="00F30055"/>
    <w:rsid w:val="00F30853"/>
    <w:rsid w:val="00F32DBC"/>
    <w:rsid w:val="00F34F35"/>
    <w:rsid w:val="00F352D1"/>
    <w:rsid w:val="00F35B47"/>
    <w:rsid w:val="00F363C4"/>
    <w:rsid w:val="00F3774A"/>
    <w:rsid w:val="00F37B09"/>
    <w:rsid w:val="00F404DB"/>
    <w:rsid w:val="00F406B7"/>
    <w:rsid w:val="00F407DE"/>
    <w:rsid w:val="00F41032"/>
    <w:rsid w:val="00F411FD"/>
    <w:rsid w:val="00F41CFC"/>
    <w:rsid w:val="00F42049"/>
    <w:rsid w:val="00F42B3C"/>
    <w:rsid w:val="00F45360"/>
    <w:rsid w:val="00F45AB9"/>
    <w:rsid w:val="00F46087"/>
    <w:rsid w:val="00F463A5"/>
    <w:rsid w:val="00F464BF"/>
    <w:rsid w:val="00F478F2"/>
    <w:rsid w:val="00F47F9A"/>
    <w:rsid w:val="00F47FAF"/>
    <w:rsid w:val="00F50B3C"/>
    <w:rsid w:val="00F51208"/>
    <w:rsid w:val="00F513B4"/>
    <w:rsid w:val="00F520F0"/>
    <w:rsid w:val="00F52EC9"/>
    <w:rsid w:val="00F53C9F"/>
    <w:rsid w:val="00F5453D"/>
    <w:rsid w:val="00F54933"/>
    <w:rsid w:val="00F54CEC"/>
    <w:rsid w:val="00F604B8"/>
    <w:rsid w:val="00F609FB"/>
    <w:rsid w:val="00F60EB2"/>
    <w:rsid w:val="00F6112C"/>
    <w:rsid w:val="00F61400"/>
    <w:rsid w:val="00F64995"/>
    <w:rsid w:val="00F6627F"/>
    <w:rsid w:val="00F66A1A"/>
    <w:rsid w:val="00F6725C"/>
    <w:rsid w:val="00F67813"/>
    <w:rsid w:val="00F67BF7"/>
    <w:rsid w:val="00F7000D"/>
    <w:rsid w:val="00F715C1"/>
    <w:rsid w:val="00F7165D"/>
    <w:rsid w:val="00F717D1"/>
    <w:rsid w:val="00F72172"/>
    <w:rsid w:val="00F7240A"/>
    <w:rsid w:val="00F7384E"/>
    <w:rsid w:val="00F7407A"/>
    <w:rsid w:val="00F74746"/>
    <w:rsid w:val="00F7667F"/>
    <w:rsid w:val="00F76876"/>
    <w:rsid w:val="00F8048A"/>
    <w:rsid w:val="00F8183A"/>
    <w:rsid w:val="00F81F67"/>
    <w:rsid w:val="00F83CB2"/>
    <w:rsid w:val="00F84E28"/>
    <w:rsid w:val="00F850C7"/>
    <w:rsid w:val="00F85DE8"/>
    <w:rsid w:val="00F8613D"/>
    <w:rsid w:val="00F8691B"/>
    <w:rsid w:val="00F86D18"/>
    <w:rsid w:val="00F878CF"/>
    <w:rsid w:val="00F90000"/>
    <w:rsid w:val="00F933CA"/>
    <w:rsid w:val="00F942C9"/>
    <w:rsid w:val="00F946FB"/>
    <w:rsid w:val="00F94874"/>
    <w:rsid w:val="00F94DE8"/>
    <w:rsid w:val="00F952F4"/>
    <w:rsid w:val="00F96833"/>
    <w:rsid w:val="00F974FA"/>
    <w:rsid w:val="00F97A87"/>
    <w:rsid w:val="00F97CCF"/>
    <w:rsid w:val="00FA0739"/>
    <w:rsid w:val="00FA09C9"/>
    <w:rsid w:val="00FA0EB8"/>
    <w:rsid w:val="00FA0F5F"/>
    <w:rsid w:val="00FA1487"/>
    <w:rsid w:val="00FA25B7"/>
    <w:rsid w:val="00FA4B1C"/>
    <w:rsid w:val="00FA5048"/>
    <w:rsid w:val="00FA5579"/>
    <w:rsid w:val="00FA7177"/>
    <w:rsid w:val="00FA741D"/>
    <w:rsid w:val="00FA79A0"/>
    <w:rsid w:val="00FA7C71"/>
    <w:rsid w:val="00FB1372"/>
    <w:rsid w:val="00FB1A25"/>
    <w:rsid w:val="00FB1EED"/>
    <w:rsid w:val="00FB2203"/>
    <w:rsid w:val="00FB3359"/>
    <w:rsid w:val="00FB339F"/>
    <w:rsid w:val="00FB3F83"/>
    <w:rsid w:val="00FB4B7F"/>
    <w:rsid w:val="00FB52A2"/>
    <w:rsid w:val="00FB52ED"/>
    <w:rsid w:val="00FB607D"/>
    <w:rsid w:val="00FB676D"/>
    <w:rsid w:val="00FB68CB"/>
    <w:rsid w:val="00FC03A7"/>
    <w:rsid w:val="00FC0BEC"/>
    <w:rsid w:val="00FC0BEE"/>
    <w:rsid w:val="00FC1147"/>
    <w:rsid w:val="00FC19C3"/>
    <w:rsid w:val="00FC1C6A"/>
    <w:rsid w:val="00FC1E00"/>
    <w:rsid w:val="00FC1F05"/>
    <w:rsid w:val="00FC2351"/>
    <w:rsid w:val="00FC31CE"/>
    <w:rsid w:val="00FC368E"/>
    <w:rsid w:val="00FC47B9"/>
    <w:rsid w:val="00FC6557"/>
    <w:rsid w:val="00FC750E"/>
    <w:rsid w:val="00FC7936"/>
    <w:rsid w:val="00FC798D"/>
    <w:rsid w:val="00FD0F9D"/>
    <w:rsid w:val="00FD0FC5"/>
    <w:rsid w:val="00FD141D"/>
    <w:rsid w:val="00FD29BA"/>
    <w:rsid w:val="00FD5449"/>
    <w:rsid w:val="00FD649C"/>
    <w:rsid w:val="00FD6B2F"/>
    <w:rsid w:val="00FD7227"/>
    <w:rsid w:val="00FD7485"/>
    <w:rsid w:val="00FD7BB7"/>
    <w:rsid w:val="00FD7F02"/>
    <w:rsid w:val="00FE02DE"/>
    <w:rsid w:val="00FE037C"/>
    <w:rsid w:val="00FE0410"/>
    <w:rsid w:val="00FE0DC2"/>
    <w:rsid w:val="00FE1683"/>
    <w:rsid w:val="00FE257D"/>
    <w:rsid w:val="00FE36CD"/>
    <w:rsid w:val="00FE3968"/>
    <w:rsid w:val="00FE3F2A"/>
    <w:rsid w:val="00FE4FE6"/>
    <w:rsid w:val="00FE6F15"/>
    <w:rsid w:val="00FE756C"/>
    <w:rsid w:val="00FF0660"/>
    <w:rsid w:val="00FF0CC9"/>
    <w:rsid w:val="00FF0D34"/>
    <w:rsid w:val="00FF15C4"/>
    <w:rsid w:val="00FF1FEB"/>
    <w:rsid w:val="00FF28D5"/>
    <w:rsid w:val="00FF2A41"/>
    <w:rsid w:val="00FF320C"/>
    <w:rsid w:val="00FF3661"/>
    <w:rsid w:val="00FF4644"/>
    <w:rsid w:val="00FF4B5D"/>
    <w:rsid w:val="00FF4BDD"/>
    <w:rsid w:val="00FF5ED5"/>
    <w:rsid w:val="00FF5FF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1A745AE"/>
  <w14:defaultImageDpi w14:val="32767"/>
  <w15:chartTrackingRefBased/>
  <w15:docId w15:val="{B30E231B-6CD8-2649-B501-A7DF22344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elvetica" w:eastAsiaTheme="minorHAnsi" w:hAnsi="Helvetica" w:cstheme="minorBidi"/>
        <w:sz w:val="24"/>
        <w:szCs w:val="24"/>
        <w:lang w:val="en-GB" w:eastAsia="en-US" w:bidi="ar-SA"/>
      </w:rPr>
    </w:rPrDefault>
    <w:pPrDefault>
      <w:pPr>
        <w:spacing w:before="100" w:beforeAutospacing="1" w:after="100" w:afterAutospacing="1"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A0689"/>
    <w:rPr>
      <w:rFonts w:ascii="Times New Roman" w:eastAsia="Times New Roman" w:hAnsi="Times New Roman" w:cs="Times New Roman"/>
      <w:lang w:val="en-AU"/>
    </w:rPr>
  </w:style>
  <w:style w:type="paragraph" w:styleId="Heading1">
    <w:name w:val="heading 1"/>
    <w:basedOn w:val="Normal"/>
    <w:next w:val="Normal"/>
    <w:link w:val="Heading1Char"/>
    <w:uiPriority w:val="9"/>
    <w:qFormat/>
    <w:rsid w:val="003E56A3"/>
    <w:pPr>
      <w:keepNext/>
      <w:keepLines/>
      <w:spacing w:before="24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BA0689"/>
    <w:pPr>
      <w:keepNext/>
      <w:keepLines/>
      <w:spacing w:before="40" w:line="240" w:lineRule="auto"/>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C32808"/>
    <w:pPr>
      <w:keepNext/>
      <w:keepLines/>
      <w:spacing w:before="40"/>
      <w:outlineLvl w:val="2"/>
    </w:pPr>
    <w:rPr>
      <w:rFonts w:eastAsiaTheme="majorEastAsia" w:cstheme="majorBidi"/>
      <w:b/>
      <w:i/>
    </w:rPr>
  </w:style>
  <w:style w:type="paragraph" w:styleId="Heading4">
    <w:name w:val="heading 4"/>
    <w:basedOn w:val="Normal"/>
    <w:next w:val="Normal"/>
    <w:link w:val="Heading4Char"/>
    <w:uiPriority w:val="9"/>
    <w:unhideWhenUsed/>
    <w:qFormat/>
    <w:rsid w:val="008B4FBD"/>
    <w:pPr>
      <w:keepNext/>
      <w:keepLines/>
      <w:spacing w:before="200" w:line="360" w:lineRule="auto"/>
      <w:outlineLvl w:val="3"/>
    </w:pPr>
    <w:rPr>
      <w:rFonts w:eastAsiaTheme="majorEastAsia" w:cstheme="majorBidi"/>
      <w:bCs/>
      <w:i/>
      <w:iCs/>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56A3"/>
    <w:rPr>
      <w:rFonts w:ascii="Helvetica Neue" w:eastAsiaTheme="majorEastAsia" w:hAnsi="Helvetica Neue" w:cstheme="majorBidi"/>
      <w:b/>
      <w:sz w:val="32"/>
      <w:szCs w:val="32"/>
      <w:lang w:val="en-US"/>
    </w:rPr>
  </w:style>
  <w:style w:type="character" w:customStyle="1" w:styleId="Heading2Char">
    <w:name w:val="Heading 2 Char"/>
    <w:basedOn w:val="DefaultParagraphFont"/>
    <w:link w:val="Heading2"/>
    <w:uiPriority w:val="9"/>
    <w:rsid w:val="00BA0689"/>
    <w:rPr>
      <w:rFonts w:ascii="Times New Roman" w:eastAsiaTheme="majorEastAsia" w:hAnsi="Times New Roman" w:cstheme="majorBidi"/>
      <w:b/>
      <w:sz w:val="28"/>
      <w:szCs w:val="26"/>
      <w:lang w:val="en-AU"/>
    </w:rPr>
  </w:style>
  <w:style w:type="character" w:customStyle="1" w:styleId="Heading3Char">
    <w:name w:val="Heading 3 Char"/>
    <w:basedOn w:val="DefaultParagraphFont"/>
    <w:link w:val="Heading3"/>
    <w:uiPriority w:val="9"/>
    <w:rsid w:val="00C32808"/>
    <w:rPr>
      <w:rFonts w:ascii="Times New Roman" w:eastAsiaTheme="majorEastAsia" w:hAnsi="Times New Roman" w:cstheme="majorBidi"/>
      <w:b/>
      <w:i/>
      <w:lang w:val="en-AU"/>
    </w:rPr>
  </w:style>
  <w:style w:type="character" w:customStyle="1" w:styleId="Heading4Char">
    <w:name w:val="Heading 4 Char"/>
    <w:basedOn w:val="DefaultParagraphFont"/>
    <w:link w:val="Heading4"/>
    <w:uiPriority w:val="9"/>
    <w:rsid w:val="008B4FBD"/>
    <w:rPr>
      <w:rFonts w:ascii="Times New Roman" w:eastAsiaTheme="majorEastAsia" w:hAnsi="Times New Roman" w:cstheme="majorBidi"/>
      <w:bCs/>
      <w:i/>
      <w:iCs/>
      <w:lang w:val="en-AU" w:eastAsia="ja-JP"/>
    </w:rPr>
  </w:style>
  <w:style w:type="paragraph" w:styleId="NormalWeb">
    <w:name w:val="Normal (Web)"/>
    <w:basedOn w:val="Normal"/>
    <w:uiPriority w:val="99"/>
    <w:unhideWhenUsed/>
    <w:rsid w:val="0005678F"/>
  </w:style>
  <w:style w:type="paragraph" w:customStyle="1" w:styleId="Style1">
    <w:name w:val="Style1"/>
    <w:basedOn w:val="Heading1"/>
    <w:qFormat/>
    <w:rsid w:val="00331093"/>
  </w:style>
  <w:style w:type="paragraph" w:styleId="Header">
    <w:name w:val="header"/>
    <w:basedOn w:val="Normal"/>
    <w:link w:val="HeaderChar"/>
    <w:uiPriority w:val="99"/>
    <w:unhideWhenUsed/>
    <w:rsid w:val="0090440C"/>
    <w:pPr>
      <w:tabs>
        <w:tab w:val="center" w:pos="4513"/>
        <w:tab w:val="right" w:pos="9026"/>
      </w:tabs>
    </w:pPr>
  </w:style>
  <w:style w:type="character" w:customStyle="1" w:styleId="HeaderChar">
    <w:name w:val="Header Char"/>
    <w:basedOn w:val="DefaultParagraphFont"/>
    <w:link w:val="Header"/>
    <w:uiPriority w:val="99"/>
    <w:rsid w:val="0090440C"/>
    <w:rPr>
      <w:rFonts w:ascii="Helvetica Neue" w:hAnsi="Helvetica Neue"/>
      <w:lang w:val="en-US"/>
    </w:rPr>
  </w:style>
  <w:style w:type="paragraph" w:styleId="Footer">
    <w:name w:val="footer"/>
    <w:basedOn w:val="Normal"/>
    <w:link w:val="FooterChar"/>
    <w:uiPriority w:val="99"/>
    <w:unhideWhenUsed/>
    <w:rsid w:val="0090440C"/>
    <w:pPr>
      <w:tabs>
        <w:tab w:val="center" w:pos="4513"/>
        <w:tab w:val="right" w:pos="9026"/>
      </w:tabs>
    </w:pPr>
  </w:style>
  <w:style w:type="character" w:customStyle="1" w:styleId="FooterChar">
    <w:name w:val="Footer Char"/>
    <w:basedOn w:val="DefaultParagraphFont"/>
    <w:link w:val="Footer"/>
    <w:uiPriority w:val="99"/>
    <w:rsid w:val="0090440C"/>
    <w:rPr>
      <w:rFonts w:ascii="Helvetica Neue" w:hAnsi="Helvetica Neue"/>
      <w:lang w:val="en-US"/>
    </w:rPr>
  </w:style>
  <w:style w:type="character" w:styleId="PageNumber">
    <w:name w:val="page number"/>
    <w:basedOn w:val="DefaultParagraphFont"/>
    <w:uiPriority w:val="99"/>
    <w:semiHidden/>
    <w:unhideWhenUsed/>
    <w:rsid w:val="005375D0"/>
  </w:style>
  <w:style w:type="paragraph" w:styleId="TOCHeading">
    <w:name w:val="TOC Heading"/>
    <w:basedOn w:val="Heading1"/>
    <w:next w:val="Normal"/>
    <w:uiPriority w:val="39"/>
    <w:unhideWhenUsed/>
    <w:qFormat/>
    <w:rsid w:val="00AB017F"/>
    <w:pPr>
      <w:spacing w:before="480" w:line="276" w:lineRule="auto"/>
      <w:outlineLvl w:val="9"/>
    </w:pPr>
    <w:rPr>
      <w:rFonts w:asciiTheme="majorHAnsi" w:hAnsiTheme="majorHAnsi"/>
      <w:bCs/>
      <w:color w:val="2F5496" w:themeColor="accent1" w:themeShade="BF"/>
      <w:sz w:val="28"/>
      <w:szCs w:val="28"/>
    </w:rPr>
  </w:style>
  <w:style w:type="paragraph" w:styleId="TOC1">
    <w:name w:val="toc 1"/>
    <w:basedOn w:val="Normal"/>
    <w:next w:val="Normal"/>
    <w:autoRedefine/>
    <w:uiPriority w:val="39"/>
    <w:unhideWhenUsed/>
    <w:rsid w:val="00AB017F"/>
    <w:pPr>
      <w:spacing w:before="120" w:after="120"/>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AB017F"/>
    <w:pPr>
      <w:spacing w:before="0" w:after="0"/>
      <w:ind w:left="240"/>
    </w:pPr>
    <w:rPr>
      <w:rFonts w:asciiTheme="minorHAnsi" w:hAnsiTheme="minorHAnsi" w:cstheme="minorHAnsi"/>
      <w:smallCaps/>
      <w:sz w:val="20"/>
      <w:szCs w:val="20"/>
    </w:rPr>
  </w:style>
  <w:style w:type="character" w:styleId="Hyperlink">
    <w:name w:val="Hyperlink"/>
    <w:basedOn w:val="DefaultParagraphFont"/>
    <w:uiPriority w:val="99"/>
    <w:unhideWhenUsed/>
    <w:rsid w:val="00AB017F"/>
    <w:rPr>
      <w:color w:val="0563C1" w:themeColor="hyperlink"/>
      <w:u w:val="single"/>
    </w:rPr>
  </w:style>
  <w:style w:type="paragraph" w:styleId="TOC3">
    <w:name w:val="toc 3"/>
    <w:basedOn w:val="Normal"/>
    <w:next w:val="Normal"/>
    <w:autoRedefine/>
    <w:uiPriority w:val="39"/>
    <w:unhideWhenUsed/>
    <w:rsid w:val="00AB017F"/>
    <w:pPr>
      <w:spacing w:before="0" w:after="0"/>
      <w:ind w:left="480"/>
    </w:pPr>
    <w:rPr>
      <w:rFonts w:asciiTheme="minorHAnsi" w:hAnsiTheme="minorHAnsi" w:cstheme="minorHAnsi"/>
      <w:i/>
      <w:iCs/>
      <w:sz w:val="20"/>
      <w:szCs w:val="20"/>
    </w:rPr>
  </w:style>
  <w:style w:type="paragraph" w:styleId="TOC4">
    <w:name w:val="toc 4"/>
    <w:basedOn w:val="Normal"/>
    <w:next w:val="Normal"/>
    <w:autoRedefine/>
    <w:uiPriority w:val="39"/>
    <w:unhideWhenUsed/>
    <w:rsid w:val="00AB017F"/>
    <w:pPr>
      <w:spacing w:before="0" w:after="0"/>
      <w:ind w:left="720"/>
    </w:pPr>
    <w:rPr>
      <w:rFonts w:asciiTheme="minorHAnsi" w:hAnsiTheme="minorHAnsi" w:cstheme="minorHAnsi"/>
      <w:sz w:val="18"/>
      <w:szCs w:val="18"/>
    </w:rPr>
  </w:style>
  <w:style w:type="paragraph" w:styleId="TOC5">
    <w:name w:val="toc 5"/>
    <w:basedOn w:val="Normal"/>
    <w:next w:val="Normal"/>
    <w:autoRedefine/>
    <w:uiPriority w:val="39"/>
    <w:unhideWhenUsed/>
    <w:rsid w:val="00AB017F"/>
    <w:pPr>
      <w:spacing w:before="0" w:after="0"/>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AB017F"/>
    <w:pPr>
      <w:spacing w:before="0" w:after="0"/>
      <w:ind w:left="1200"/>
    </w:pPr>
    <w:rPr>
      <w:rFonts w:asciiTheme="minorHAnsi" w:hAnsiTheme="minorHAnsi" w:cstheme="minorHAnsi"/>
      <w:sz w:val="18"/>
      <w:szCs w:val="18"/>
    </w:rPr>
  </w:style>
  <w:style w:type="paragraph" w:styleId="TOC7">
    <w:name w:val="toc 7"/>
    <w:basedOn w:val="Normal"/>
    <w:next w:val="Normal"/>
    <w:autoRedefine/>
    <w:uiPriority w:val="39"/>
    <w:unhideWhenUsed/>
    <w:rsid w:val="00AB017F"/>
    <w:pPr>
      <w:spacing w:before="0" w:after="0"/>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AB017F"/>
    <w:pPr>
      <w:spacing w:before="0" w:after="0"/>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AB017F"/>
    <w:pPr>
      <w:spacing w:before="0" w:after="0"/>
      <w:ind w:left="1920"/>
    </w:pPr>
    <w:rPr>
      <w:rFonts w:asciiTheme="minorHAnsi" w:hAnsiTheme="minorHAnsi" w:cstheme="minorHAnsi"/>
      <w:sz w:val="18"/>
      <w:szCs w:val="18"/>
    </w:rPr>
  </w:style>
  <w:style w:type="character" w:styleId="FollowedHyperlink">
    <w:name w:val="FollowedHyperlink"/>
    <w:basedOn w:val="DefaultParagraphFont"/>
    <w:uiPriority w:val="99"/>
    <w:semiHidden/>
    <w:unhideWhenUsed/>
    <w:rsid w:val="00E002E2"/>
    <w:rPr>
      <w:color w:val="954F72" w:themeColor="followedHyperlink"/>
      <w:u w:val="single"/>
    </w:rPr>
  </w:style>
  <w:style w:type="paragraph" w:styleId="ListParagraph">
    <w:name w:val="List Paragraph"/>
    <w:basedOn w:val="Normal"/>
    <w:uiPriority w:val="34"/>
    <w:qFormat/>
    <w:rsid w:val="00CA4414"/>
    <w:pPr>
      <w:spacing w:line="240" w:lineRule="auto"/>
      <w:ind w:left="720"/>
      <w:contextualSpacing/>
    </w:pPr>
    <w:rPr>
      <w:rFonts w:ascii="Trebuchet MS" w:eastAsiaTheme="minorEastAsia" w:hAnsi="Trebuchet MS" w:cstheme="minorBidi"/>
      <w:sz w:val="20"/>
      <w:lang w:eastAsia="ja-JP"/>
    </w:rPr>
  </w:style>
  <w:style w:type="paragraph" w:styleId="BalloonText">
    <w:name w:val="Balloon Text"/>
    <w:basedOn w:val="Normal"/>
    <w:link w:val="BalloonTextChar"/>
    <w:uiPriority w:val="99"/>
    <w:semiHidden/>
    <w:unhideWhenUsed/>
    <w:rsid w:val="00CA4414"/>
    <w:pPr>
      <w:spacing w:line="240" w:lineRule="auto"/>
    </w:pPr>
    <w:rPr>
      <w:sz w:val="18"/>
      <w:szCs w:val="18"/>
    </w:rPr>
  </w:style>
  <w:style w:type="character" w:customStyle="1" w:styleId="BalloonTextChar">
    <w:name w:val="Balloon Text Char"/>
    <w:basedOn w:val="DefaultParagraphFont"/>
    <w:link w:val="BalloonText"/>
    <w:uiPriority w:val="99"/>
    <w:semiHidden/>
    <w:rsid w:val="00CA4414"/>
    <w:rPr>
      <w:rFonts w:ascii="Times New Roman" w:eastAsia="Times New Roman" w:hAnsi="Times New Roman" w:cs="Times New Roman"/>
      <w:sz w:val="18"/>
      <w:szCs w:val="18"/>
      <w:lang w:val="en-AU"/>
    </w:rPr>
  </w:style>
  <w:style w:type="paragraph" w:styleId="Bibliography">
    <w:name w:val="Bibliography"/>
    <w:basedOn w:val="Normal"/>
    <w:next w:val="Normal"/>
    <w:uiPriority w:val="37"/>
    <w:unhideWhenUsed/>
    <w:rsid w:val="006B1CDA"/>
    <w:pPr>
      <w:ind w:left="720" w:hanging="720"/>
    </w:pPr>
  </w:style>
  <w:style w:type="character" w:styleId="CommentReference">
    <w:name w:val="annotation reference"/>
    <w:basedOn w:val="DefaultParagraphFont"/>
    <w:uiPriority w:val="99"/>
    <w:semiHidden/>
    <w:unhideWhenUsed/>
    <w:rsid w:val="001A4A68"/>
    <w:rPr>
      <w:sz w:val="16"/>
      <w:szCs w:val="16"/>
    </w:rPr>
  </w:style>
  <w:style w:type="paragraph" w:styleId="CommentText">
    <w:name w:val="annotation text"/>
    <w:basedOn w:val="Normal"/>
    <w:link w:val="CommentTextChar"/>
    <w:uiPriority w:val="99"/>
    <w:unhideWhenUsed/>
    <w:rsid w:val="001A4A68"/>
    <w:pPr>
      <w:spacing w:line="240" w:lineRule="auto"/>
    </w:pPr>
    <w:rPr>
      <w:sz w:val="20"/>
      <w:szCs w:val="20"/>
    </w:rPr>
  </w:style>
  <w:style w:type="character" w:customStyle="1" w:styleId="CommentTextChar">
    <w:name w:val="Comment Text Char"/>
    <w:basedOn w:val="DefaultParagraphFont"/>
    <w:link w:val="CommentText"/>
    <w:uiPriority w:val="99"/>
    <w:rsid w:val="001A4A68"/>
    <w:rPr>
      <w:rFonts w:eastAsia="Times New Roman" w:cs="Times New Roman"/>
      <w:sz w:val="20"/>
      <w:szCs w:val="20"/>
      <w:lang w:val="en-AU"/>
    </w:rPr>
  </w:style>
  <w:style w:type="paragraph" w:styleId="CommentSubject">
    <w:name w:val="annotation subject"/>
    <w:basedOn w:val="CommentText"/>
    <w:next w:val="CommentText"/>
    <w:link w:val="CommentSubjectChar"/>
    <w:uiPriority w:val="99"/>
    <w:semiHidden/>
    <w:unhideWhenUsed/>
    <w:rsid w:val="001A4A68"/>
    <w:rPr>
      <w:b/>
      <w:bCs/>
    </w:rPr>
  </w:style>
  <w:style w:type="character" w:customStyle="1" w:styleId="CommentSubjectChar">
    <w:name w:val="Comment Subject Char"/>
    <w:basedOn w:val="CommentTextChar"/>
    <w:link w:val="CommentSubject"/>
    <w:uiPriority w:val="99"/>
    <w:semiHidden/>
    <w:rsid w:val="001A4A68"/>
    <w:rPr>
      <w:rFonts w:eastAsia="Times New Roman" w:cs="Times New Roman"/>
      <w:b/>
      <w:bCs/>
      <w:sz w:val="20"/>
      <w:szCs w:val="20"/>
      <w:lang w:val="en-AU"/>
    </w:rPr>
  </w:style>
  <w:style w:type="paragraph" w:styleId="Revision">
    <w:name w:val="Revision"/>
    <w:hidden/>
    <w:uiPriority w:val="99"/>
    <w:semiHidden/>
    <w:rsid w:val="001A4A68"/>
    <w:rPr>
      <w:rFonts w:eastAsia="Times New Roman" w:cs="Times New Roman"/>
      <w:lang w:val="en-AU"/>
    </w:rPr>
  </w:style>
  <w:style w:type="character" w:customStyle="1" w:styleId="EndnoteTextChar">
    <w:name w:val="Endnote Text Char"/>
    <w:basedOn w:val="DefaultParagraphFont"/>
    <w:link w:val="EndnoteText"/>
    <w:uiPriority w:val="99"/>
    <w:rsid w:val="000D2291"/>
    <w:rPr>
      <w:rFonts w:ascii="Trebuchet MS" w:eastAsiaTheme="minorEastAsia" w:hAnsi="Trebuchet MS"/>
      <w:sz w:val="22"/>
      <w:lang w:val="en-AU" w:eastAsia="ja-JP"/>
    </w:rPr>
  </w:style>
  <w:style w:type="paragraph" w:styleId="EndnoteText">
    <w:name w:val="endnote text"/>
    <w:basedOn w:val="Normal"/>
    <w:link w:val="EndnoteTextChar"/>
    <w:uiPriority w:val="99"/>
    <w:unhideWhenUsed/>
    <w:rsid w:val="000D2291"/>
    <w:pPr>
      <w:spacing w:line="240" w:lineRule="auto"/>
    </w:pPr>
    <w:rPr>
      <w:rFonts w:ascii="Trebuchet MS" w:eastAsiaTheme="minorEastAsia" w:hAnsi="Trebuchet MS" w:cstheme="minorBidi"/>
      <w:sz w:val="22"/>
      <w:lang w:eastAsia="ja-JP"/>
    </w:rPr>
  </w:style>
  <w:style w:type="character" w:customStyle="1" w:styleId="DocumentMapChar">
    <w:name w:val="Document Map Char"/>
    <w:basedOn w:val="DefaultParagraphFont"/>
    <w:link w:val="DocumentMap"/>
    <w:uiPriority w:val="99"/>
    <w:semiHidden/>
    <w:rsid w:val="000D2291"/>
    <w:rPr>
      <w:rFonts w:ascii="Lucida Grande" w:eastAsiaTheme="minorEastAsia" w:hAnsi="Lucida Grande" w:cs="Lucida Grande"/>
      <w:lang w:val="en-AU" w:eastAsia="ja-JP"/>
    </w:rPr>
  </w:style>
  <w:style w:type="paragraph" w:styleId="DocumentMap">
    <w:name w:val="Document Map"/>
    <w:basedOn w:val="Normal"/>
    <w:link w:val="DocumentMapChar"/>
    <w:uiPriority w:val="99"/>
    <w:semiHidden/>
    <w:unhideWhenUsed/>
    <w:rsid w:val="000D2291"/>
    <w:pPr>
      <w:spacing w:line="240" w:lineRule="auto"/>
    </w:pPr>
    <w:rPr>
      <w:rFonts w:ascii="Lucida Grande" w:eastAsiaTheme="minorEastAsia" w:hAnsi="Lucida Grande" w:cs="Lucida Grande"/>
      <w:lang w:eastAsia="ja-JP"/>
    </w:rPr>
  </w:style>
  <w:style w:type="table" w:styleId="TableGrid">
    <w:name w:val="Table Grid"/>
    <w:basedOn w:val="TableNormal"/>
    <w:uiPriority w:val="59"/>
    <w:rsid w:val="004C4241"/>
    <w:rPr>
      <w:rFonts w:asciiTheme="minorHAnsi" w:eastAsiaTheme="minorEastAsia" w:hAnsiTheme="minorHAnsi"/>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874D2"/>
    <w:rPr>
      <w:color w:val="808080"/>
    </w:rPr>
  </w:style>
  <w:style w:type="character" w:customStyle="1" w:styleId="apple-converted-space">
    <w:name w:val="apple-converted-space"/>
    <w:basedOn w:val="DefaultParagraphFont"/>
    <w:rsid w:val="007975A2"/>
  </w:style>
  <w:style w:type="character" w:styleId="UnresolvedMention">
    <w:name w:val="Unresolved Mention"/>
    <w:basedOn w:val="DefaultParagraphFont"/>
    <w:uiPriority w:val="99"/>
    <w:unhideWhenUsed/>
    <w:rsid w:val="0064251A"/>
    <w:rPr>
      <w:color w:val="605E5C"/>
      <w:shd w:val="clear" w:color="auto" w:fill="E1DFDD"/>
    </w:rPr>
  </w:style>
  <w:style w:type="paragraph" w:styleId="Caption">
    <w:name w:val="caption"/>
    <w:basedOn w:val="Normal"/>
    <w:next w:val="Normal"/>
    <w:uiPriority w:val="35"/>
    <w:unhideWhenUsed/>
    <w:qFormat/>
    <w:rsid w:val="000960C5"/>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33327D"/>
  </w:style>
  <w:style w:type="paragraph" w:styleId="NoSpacing">
    <w:name w:val="No Spacing"/>
    <w:uiPriority w:val="1"/>
    <w:qFormat/>
    <w:rsid w:val="00CA2D8A"/>
    <w:rPr>
      <w:rFonts w:asciiTheme="minorHAnsi" w:eastAsiaTheme="minorEastAsia" w:hAnsiTheme="minorHAnsi"/>
      <w:lang w:val="en-AU"/>
    </w:rPr>
  </w:style>
  <w:style w:type="paragraph" w:styleId="FootnoteText">
    <w:name w:val="footnote text"/>
    <w:basedOn w:val="Normal"/>
    <w:link w:val="FootnoteTextChar"/>
    <w:uiPriority w:val="99"/>
    <w:semiHidden/>
    <w:unhideWhenUsed/>
    <w:rsid w:val="009E7A3A"/>
    <w:pPr>
      <w:spacing w:line="240" w:lineRule="auto"/>
    </w:pPr>
    <w:rPr>
      <w:sz w:val="20"/>
      <w:szCs w:val="20"/>
    </w:rPr>
  </w:style>
  <w:style w:type="character" w:customStyle="1" w:styleId="FootnoteTextChar">
    <w:name w:val="Footnote Text Char"/>
    <w:basedOn w:val="DefaultParagraphFont"/>
    <w:link w:val="FootnoteText"/>
    <w:uiPriority w:val="99"/>
    <w:semiHidden/>
    <w:rsid w:val="009E7A3A"/>
    <w:rPr>
      <w:rFonts w:ascii="Times New Roman" w:eastAsia="Times New Roman" w:hAnsi="Times New Roman" w:cs="Times New Roman"/>
      <w:sz w:val="20"/>
      <w:szCs w:val="20"/>
      <w:lang w:val="en-AU"/>
    </w:rPr>
  </w:style>
  <w:style w:type="character" w:styleId="FootnoteReference">
    <w:name w:val="footnote reference"/>
    <w:basedOn w:val="DefaultParagraphFont"/>
    <w:uiPriority w:val="99"/>
    <w:semiHidden/>
    <w:unhideWhenUsed/>
    <w:rsid w:val="009E7A3A"/>
    <w:rPr>
      <w:vertAlign w:val="superscript"/>
    </w:rPr>
  </w:style>
  <w:style w:type="character" w:styleId="Emphasis">
    <w:name w:val="Emphasis"/>
    <w:basedOn w:val="DefaultParagraphFont"/>
    <w:uiPriority w:val="20"/>
    <w:qFormat/>
    <w:rsid w:val="00636273"/>
    <w:rPr>
      <w:i/>
      <w:iCs/>
    </w:rPr>
  </w:style>
  <w:style w:type="character" w:styleId="Strong">
    <w:name w:val="Strong"/>
    <w:basedOn w:val="DefaultParagraphFont"/>
    <w:uiPriority w:val="22"/>
    <w:qFormat/>
    <w:rsid w:val="006362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2340">
      <w:bodyDiv w:val="1"/>
      <w:marLeft w:val="0"/>
      <w:marRight w:val="0"/>
      <w:marTop w:val="0"/>
      <w:marBottom w:val="0"/>
      <w:divBdr>
        <w:top w:val="none" w:sz="0" w:space="0" w:color="auto"/>
        <w:left w:val="none" w:sz="0" w:space="0" w:color="auto"/>
        <w:bottom w:val="none" w:sz="0" w:space="0" w:color="auto"/>
        <w:right w:val="none" w:sz="0" w:space="0" w:color="auto"/>
      </w:divBdr>
    </w:div>
    <w:div w:id="4212388">
      <w:bodyDiv w:val="1"/>
      <w:marLeft w:val="0"/>
      <w:marRight w:val="0"/>
      <w:marTop w:val="0"/>
      <w:marBottom w:val="0"/>
      <w:divBdr>
        <w:top w:val="none" w:sz="0" w:space="0" w:color="auto"/>
        <w:left w:val="none" w:sz="0" w:space="0" w:color="auto"/>
        <w:bottom w:val="none" w:sz="0" w:space="0" w:color="auto"/>
        <w:right w:val="none" w:sz="0" w:space="0" w:color="auto"/>
      </w:divBdr>
    </w:div>
    <w:div w:id="9382297">
      <w:bodyDiv w:val="1"/>
      <w:marLeft w:val="0"/>
      <w:marRight w:val="0"/>
      <w:marTop w:val="0"/>
      <w:marBottom w:val="0"/>
      <w:divBdr>
        <w:top w:val="none" w:sz="0" w:space="0" w:color="auto"/>
        <w:left w:val="none" w:sz="0" w:space="0" w:color="auto"/>
        <w:bottom w:val="none" w:sz="0" w:space="0" w:color="auto"/>
        <w:right w:val="none" w:sz="0" w:space="0" w:color="auto"/>
      </w:divBdr>
    </w:div>
    <w:div w:id="11231283">
      <w:bodyDiv w:val="1"/>
      <w:marLeft w:val="0"/>
      <w:marRight w:val="0"/>
      <w:marTop w:val="0"/>
      <w:marBottom w:val="0"/>
      <w:divBdr>
        <w:top w:val="none" w:sz="0" w:space="0" w:color="auto"/>
        <w:left w:val="none" w:sz="0" w:space="0" w:color="auto"/>
        <w:bottom w:val="none" w:sz="0" w:space="0" w:color="auto"/>
        <w:right w:val="none" w:sz="0" w:space="0" w:color="auto"/>
      </w:divBdr>
      <w:divsChild>
        <w:div w:id="1221401049">
          <w:marLeft w:val="0"/>
          <w:marRight w:val="0"/>
          <w:marTop w:val="0"/>
          <w:marBottom w:val="0"/>
          <w:divBdr>
            <w:top w:val="none" w:sz="0" w:space="0" w:color="auto"/>
            <w:left w:val="none" w:sz="0" w:space="0" w:color="auto"/>
            <w:bottom w:val="none" w:sz="0" w:space="0" w:color="auto"/>
            <w:right w:val="none" w:sz="0" w:space="0" w:color="auto"/>
          </w:divBdr>
        </w:div>
        <w:div w:id="887957490">
          <w:marLeft w:val="0"/>
          <w:marRight w:val="0"/>
          <w:marTop w:val="0"/>
          <w:marBottom w:val="0"/>
          <w:divBdr>
            <w:top w:val="none" w:sz="0" w:space="0" w:color="auto"/>
            <w:left w:val="none" w:sz="0" w:space="0" w:color="auto"/>
            <w:bottom w:val="none" w:sz="0" w:space="0" w:color="auto"/>
            <w:right w:val="none" w:sz="0" w:space="0" w:color="auto"/>
          </w:divBdr>
        </w:div>
        <w:div w:id="68315144">
          <w:marLeft w:val="0"/>
          <w:marRight w:val="0"/>
          <w:marTop w:val="0"/>
          <w:marBottom w:val="0"/>
          <w:divBdr>
            <w:top w:val="none" w:sz="0" w:space="0" w:color="auto"/>
            <w:left w:val="none" w:sz="0" w:space="0" w:color="auto"/>
            <w:bottom w:val="none" w:sz="0" w:space="0" w:color="auto"/>
            <w:right w:val="none" w:sz="0" w:space="0" w:color="auto"/>
          </w:divBdr>
        </w:div>
        <w:div w:id="391080640">
          <w:marLeft w:val="0"/>
          <w:marRight w:val="0"/>
          <w:marTop w:val="0"/>
          <w:marBottom w:val="0"/>
          <w:divBdr>
            <w:top w:val="none" w:sz="0" w:space="0" w:color="auto"/>
            <w:left w:val="none" w:sz="0" w:space="0" w:color="auto"/>
            <w:bottom w:val="none" w:sz="0" w:space="0" w:color="auto"/>
            <w:right w:val="none" w:sz="0" w:space="0" w:color="auto"/>
          </w:divBdr>
        </w:div>
        <w:div w:id="1943106895">
          <w:marLeft w:val="0"/>
          <w:marRight w:val="0"/>
          <w:marTop w:val="0"/>
          <w:marBottom w:val="0"/>
          <w:divBdr>
            <w:top w:val="none" w:sz="0" w:space="0" w:color="auto"/>
            <w:left w:val="none" w:sz="0" w:space="0" w:color="auto"/>
            <w:bottom w:val="none" w:sz="0" w:space="0" w:color="auto"/>
            <w:right w:val="none" w:sz="0" w:space="0" w:color="auto"/>
          </w:divBdr>
        </w:div>
      </w:divsChild>
    </w:div>
    <w:div w:id="32728972">
      <w:bodyDiv w:val="1"/>
      <w:marLeft w:val="0"/>
      <w:marRight w:val="0"/>
      <w:marTop w:val="0"/>
      <w:marBottom w:val="0"/>
      <w:divBdr>
        <w:top w:val="none" w:sz="0" w:space="0" w:color="auto"/>
        <w:left w:val="none" w:sz="0" w:space="0" w:color="auto"/>
        <w:bottom w:val="none" w:sz="0" w:space="0" w:color="auto"/>
        <w:right w:val="none" w:sz="0" w:space="0" w:color="auto"/>
      </w:divBdr>
    </w:div>
    <w:div w:id="39744576">
      <w:bodyDiv w:val="1"/>
      <w:marLeft w:val="0"/>
      <w:marRight w:val="0"/>
      <w:marTop w:val="0"/>
      <w:marBottom w:val="0"/>
      <w:divBdr>
        <w:top w:val="none" w:sz="0" w:space="0" w:color="auto"/>
        <w:left w:val="none" w:sz="0" w:space="0" w:color="auto"/>
        <w:bottom w:val="none" w:sz="0" w:space="0" w:color="auto"/>
        <w:right w:val="none" w:sz="0" w:space="0" w:color="auto"/>
      </w:divBdr>
    </w:div>
    <w:div w:id="40634820">
      <w:bodyDiv w:val="1"/>
      <w:marLeft w:val="0"/>
      <w:marRight w:val="0"/>
      <w:marTop w:val="0"/>
      <w:marBottom w:val="0"/>
      <w:divBdr>
        <w:top w:val="none" w:sz="0" w:space="0" w:color="auto"/>
        <w:left w:val="none" w:sz="0" w:space="0" w:color="auto"/>
        <w:bottom w:val="none" w:sz="0" w:space="0" w:color="auto"/>
        <w:right w:val="none" w:sz="0" w:space="0" w:color="auto"/>
      </w:divBdr>
      <w:divsChild>
        <w:div w:id="932475872">
          <w:marLeft w:val="0"/>
          <w:marRight w:val="0"/>
          <w:marTop w:val="0"/>
          <w:marBottom w:val="0"/>
          <w:divBdr>
            <w:top w:val="none" w:sz="0" w:space="0" w:color="auto"/>
            <w:left w:val="none" w:sz="0" w:space="0" w:color="auto"/>
            <w:bottom w:val="none" w:sz="0" w:space="0" w:color="auto"/>
            <w:right w:val="none" w:sz="0" w:space="0" w:color="auto"/>
          </w:divBdr>
          <w:divsChild>
            <w:div w:id="2034453814">
              <w:marLeft w:val="0"/>
              <w:marRight w:val="0"/>
              <w:marTop w:val="0"/>
              <w:marBottom w:val="0"/>
              <w:divBdr>
                <w:top w:val="none" w:sz="0" w:space="0" w:color="auto"/>
                <w:left w:val="none" w:sz="0" w:space="0" w:color="auto"/>
                <w:bottom w:val="none" w:sz="0" w:space="0" w:color="auto"/>
                <w:right w:val="none" w:sz="0" w:space="0" w:color="auto"/>
              </w:divBdr>
              <w:divsChild>
                <w:div w:id="185132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23863">
      <w:bodyDiv w:val="1"/>
      <w:marLeft w:val="0"/>
      <w:marRight w:val="0"/>
      <w:marTop w:val="0"/>
      <w:marBottom w:val="0"/>
      <w:divBdr>
        <w:top w:val="none" w:sz="0" w:space="0" w:color="auto"/>
        <w:left w:val="none" w:sz="0" w:space="0" w:color="auto"/>
        <w:bottom w:val="none" w:sz="0" w:space="0" w:color="auto"/>
        <w:right w:val="none" w:sz="0" w:space="0" w:color="auto"/>
      </w:divBdr>
    </w:div>
    <w:div w:id="96096671">
      <w:bodyDiv w:val="1"/>
      <w:marLeft w:val="0"/>
      <w:marRight w:val="0"/>
      <w:marTop w:val="0"/>
      <w:marBottom w:val="0"/>
      <w:divBdr>
        <w:top w:val="none" w:sz="0" w:space="0" w:color="auto"/>
        <w:left w:val="none" w:sz="0" w:space="0" w:color="auto"/>
        <w:bottom w:val="none" w:sz="0" w:space="0" w:color="auto"/>
        <w:right w:val="none" w:sz="0" w:space="0" w:color="auto"/>
      </w:divBdr>
      <w:divsChild>
        <w:div w:id="1042483828">
          <w:marLeft w:val="0"/>
          <w:marRight w:val="0"/>
          <w:marTop w:val="0"/>
          <w:marBottom w:val="0"/>
          <w:divBdr>
            <w:top w:val="none" w:sz="0" w:space="0" w:color="auto"/>
            <w:left w:val="none" w:sz="0" w:space="0" w:color="auto"/>
            <w:bottom w:val="none" w:sz="0" w:space="0" w:color="auto"/>
            <w:right w:val="none" w:sz="0" w:space="0" w:color="auto"/>
          </w:divBdr>
        </w:div>
        <w:div w:id="64031337">
          <w:marLeft w:val="0"/>
          <w:marRight w:val="0"/>
          <w:marTop w:val="0"/>
          <w:marBottom w:val="0"/>
          <w:divBdr>
            <w:top w:val="none" w:sz="0" w:space="0" w:color="auto"/>
            <w:left w:val="none" w:sz="0" w:space="0" w:color="auto"/>
            <w:bottom w:val="none" w:sz="0" w:space="0" w:color="auto"/>
            <w:right w:val="none" w:sz="0" w:space="0" w:color="auto"/>
          </w:divBdr>
        </w:div>
        <w:div w:id="1855413526">
          <w:marLeft w:val="0"/>
          <w:marRight w:val="0"/>
          <w:marTop w:val="0"/>
          <w:marBottom w:val="0"/>
          <w:divBdr>
            <w:top w:val="none" w:sz="0" w:space="0" w:color="auto"/>
            <w:left w:val="none" w:sz="0" w:space="0" w:color="auto"/>
            <w:bottom w:val="none" w:sz="0" w:space="0" w:color="auto"/>
            <w:right w:val="none" w:sz="0" w:space="0" w:color="auto"/>
          </w:divBdr>
        </w:div>
        <w:div w:id="884829815">
          <w:marLeft w:val="0"/>
          <w:marRight w:val="0"/>
          <w:marTop w:val="0"/>
          <w:marBottom w:val="0"/>
          <w:divBdr>
            <w:top w:val="none" w:sz="0" w:space="0" w:color="auto"/>
            <w:left w:val="none" w:sz="0" w:space="0" w:color="auto"/>
            <w:bottom w:val="none" w:sz="0" w:space="0" w:color="auto"/>
            <w:right w:val="none" w:sz="0" w:space="0" w:color="auto"/>
          </w:divBdr>
        </w:div>
        <w:div w:id="1511008">
          <w:marLeft w:val="0"/>
          <w:marRight w:val="0"/>
          <w:marTop w:val="0"/>
          <w:marBottom w:val="0"/>
          <w:divBdr>
            <w:top w:val="none" w:sz="0" w:space="0" w:color="auto"/>
            <w:left w:val="none" w:sz="0" w:space="0" w:color="auto"/>
            <w:bottom w:val="none" w:sz="0" w:space="0" w:color="auto"/>
            <w:right w:val="none" w:sz="0" w:space="0" w:color="auto"/>
          </w:divBdr>
        </w:div>
        <w:div w:id="120999054">
          <w:marLeft w:val="0"/>
          <w:marRight w:val="0"/>
          <w:marTop w:val="0"/>
          <w:marBottom w:val="0"/>
          <w:divBdr>
            <w:top w:val="none" w:sz="0" w:space="0" w:color="auto"/>
            <w:left w:val="none" w:sz="0" w:space="0" w:color="auto"/>
            <w:bottom w:val="none" w:sz="0" w:space="0" w:color="auto"/>
            <w:right w:val="none" w:sz="0" w:space="0" w:color="auto"/>
          </w:divBdr>
        </w:div>
        <w:div w:id="2115636475">
          <w:marLeft w:val="0"/>
          <w:marRight w:val="0"/>
          <w:marTop w:val="0"/>
          <w:marBottom w:val="0"/>
          <w:divBdr>
            <w:top w:val="none" w:sz="0" w:space="0" w:color="auto"/>
            <w:left w:val="none" w:sz="0" w:space="0" w:color="auto"/>
            <w:bottom w:val="none" w:sz="0" w:space="0" w:color="auto"/>
            <w:right w:val="none" w:sz="0" w:space="0" w:color="auto"/>
          </w:divBdr>
        </w:div>
      </w:divsChild>
    </w:div>
    <w:div w:id="113133925">
      <w:bodyDiv w:val="1"/>
      <w:marLeft w:val="0"/>
      <w:marRight w:val="0"/>
      <w:marTop w:val="0"/>
      <w:marBottom w:val="0"/>
      <w:divBdr>
        <w:top w:val="none" w:sz="0" w:space="0" w:color="auto"/>
        <w:left w:val="none" w:sz="0" w:space="0" w:color="auto"/>
        <w:bottom w:val="none" w:sz="0" w:space="0" w:color="auto"/>
        <w:right w:val="none" w:sz="0" w:space="0" w:color="auto"/>
      </w:divBdr>
    </w:div>
    <w:div w:id="115371294">
      <w:bodyDiv w:val="1"/>
      <w:marLeft w:val="0"/>
      <w:marRight w:val="0"/>
      <w:marTop w:val="0"/>
      <w:marBottom w:val="0"/>
      <w:divBdr>
        <w:top w:val="none" w:sz="0" w:space="0" w:color="auto"/>
        <w:left w:val="none" w:sz="0" w:space="0" w:color="auto"/>
        <w:bottom w:val="none" w:sz="0" w:space="0" w:color="auto"/>
        <w:right w:val="none" w:sz="0" w:space="0" w:color="auto"/>
      </w:divBdr>
    </w:div>
    <w:div w:id="135728269">
      <w:bodyDiv w:val="1"/>
      <w:marLeft w:val="0"/>
      <w:marRight w:val="0"/>
      <w:marTop w:val="0"/>
      <w:marBottom w:val="0"/>
      <w:divBdr>
        <w:top w:val="none" w:sz="0" w:space="0" w:color="auto"/>
        <w:left w:val="none" w:sz="0" w:space="0" w:color="auto"/>
        <w:bottom w:val="none" w:sz="0" w:space="0" w:color="auto"/>
        <w:right w:val="none" w:sz="0" w:space="0" w:color="auto"/>
      </w:divBdr>
    </w:div>
    <w:div w:id="136647320">
      <w:bodyDiv w:val="1"/>
      <w:marLeft w:val="0"/>
      <w:marRight w:val="0"/>
      <w:marTop w:val="0"/>
      <w:marBottom w:val="0"/>
      <w:divBdr>
        <w:top w:val="none" w:sz="0" w:space="0" w:color="auto"/>
        <w:left w:val="none" w:sz="0" w:space="0" w:color="auto"/>
        <w:bottom w:val="none" w:sz="0" w:space="0" w:color="auto"/>
        <w:right w:val="none" w:sz="0" w:space="0" w:color="auto"/>
      </w:divBdr>
      <w:divsChild>
        <w:div w:id="1742949245">
          <w:marLeft w:val="0"/>
          <w:marRight w:val="0"/>
          <w:marTop w:val="0"/>
          <w:marBottom w:val="0"/>
          <w:divBdr>
            <w:top w:val="none" w:sz="0" w:space="0" w:color="auto"/>
            <w:left w:val="none" w:sz="0" w:space="0" w:color="auto"/>
            <w:bottom w:val="none" w:sz="0" w:space="0" w:color="auto"/>
            <w:right w:val="none" w:sz="0" w:space="0" w:color="auto"/>
          </w:divBdr>
          <w:divsChild>
            <w:div w:id="1237663874">
              <w:marLeft w:val="0"/>
              <w:marRight w:val="0"/>
              <w:marTop w:val="0"/>
              <w:marBottom w:val="0"/>
              <w:divBdr>
                <w:top w:val="none" w:sz="0" w:space="0" w:color="auto"/>
                <w:left w:val="none" w:sz="0" w:space="0" w:color="auto"/>
                <w:bottom w:val="none" w:sz="0" w:space="0" w:color="auto"/>
                <w:right w:val="none" w:sz="0" w:space="0" w:color="auto"/>
              </w:divBdr>
              <w:divsChild>
                <w:div w:id="64331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89998">
      <w:bodyDiv w:val="1"/>
      <w:marLeft w:val="0"/>
      <w:marRight w:val="0"/>
      <w:marTop w:val="0"/>
      <w:marBottom w:val="0"/>
      <w:divBdr>
        <w:top w:val="none" w:sz="0" w:space="0" w:color="auto"/>
        <w:left w:val="none" w:sz="0" w:space="0" w:color="auto"/>
        <w:bottom w:val="none" w:sz="0" w:space="0" w:color="auto"/>
        <w:right w:val="none" w:sz="0" w:space="0" w:color="auto"/>
      </w:divBdr>
    </w:div>
    <w:div w:id="157814172">
      <w:bodyDiv w:val="1"/>
      <w:marLeft w:val="0"/>
      <w:marRight w:val="0"/>
      <w:marTop w:val="0"/>
      <w:marBottom w:val="0"/>
      <w:divBdr>
        <w:top w:val="none" w:sz="0" w:space="0" w:color="auto"/>
        <w:left w:val="none" w:sz="0" w:space="0" w:color="auto"/>
        <w:bottom w:val="none" w:sz="0" w:space="0" w:color="auto"/>
        <w:right w:val="none" w:sz="0" w:space="0" w:color="auto"/>
      </w:divBdr>
    </w:div>
    <w:div w:id="161437983">
      <w:bodyDiv w:val="1"/>
      <w:marLeft w:val="0"/>
      <w:marRight w:val="0"/>
      <w:marTop w:val="0"/>
      <w:marBottom w:val="0"/>
      <w:divBdr>
        <w:top w:val="none" w:sz="0" w:space="0" w:color="auto"/>
        <w:left w:val="none" w:sz="0" w:space="0" w:color="auto"/>
        <w:bottom w:val="none" w:sz="0" w:space="0" w:color="auto"/>
        <w:right w:val="none" w:sz="0" w:space="0" w:color="auto"/>
      </w:divBdr>
      <w:divsChild>
        <w:div w:id="1949850130">
          <w:marLeft w:val="0"/>
          <w:marRight w:val="0"/>
          <w:marTop w:val="0"/>
          <w:marBottom w:val="0"/>
          <w:divBdr>
            <w:top w:val="none" w:sz="0" w:space="0" w:color="auto"/>
            <w:left w:val="none" w:sz="0" w:space="0" w:color="auto"/>
            <w:bottom w:val="none" w:sz="0" w:space="0" w:color="auto"/>
            <w:right w:val="none" w:sz="0" w:space="0" w:color="auto"/>
          </w:divBdr>
        </w:div>
        <w:div w:id="433091988">
          <w:marLeft w:val="0"/>
          <w:marRight w:val="0"/>
          <w:marTop w:val="0"/>
          <w:marBottom w:val="0"/>
          <w:divBdr>
            <w:top w:val="none" w:sz="0" w:space="0" w:color="auto"/>
            <w:left w:val="none" w:sz="0" w:space="0" w:color="auto"/>
            <w:bottom w:val="none" w:sz="0" w:space="0" w:color="auto"/>
            <w:right w:val="none" w:sz="0" w:space="0" w:color="auto"/>
          </w:divBdr>
        </w:div>
        <w:div w:id="1455950298">
          <w:marLeft w:val="0"/>
          <w:marRight w:val="0"/>
          <w:marTop w:val="0"/>
          <w:marBottom w:val="0"/>
          <w:divBdr>
            <w:top w:val="none" w:sz="0" w:space="0" w:color="auto"/>
            <w:left w:val="none" w:sz="0" w:space="0" w:color="auto"/>
            <w:bottom w:val="none" w:sz="0" w:space="0" w:color="auto"/>
            <w:right w:val="none" w:sz="0" w:space="0" w:color="auto"/>
          </w:divBdr>
        </w:div>
        <w:div w:id="33425968">
          <w:marLeft w:val="0"/>
          <w:marRight w:val="0"/>
          <w:marTop w:val="0"/>
          <w:marBottom w:val="0"/>
          <w:divBdr>
            <w:top w:val="none" w:sz="0" w:space="0" w:color="auto"/>
            <w:left w:val="none" w:sz="0" w:space="0" w:color="auto"/>
            <w:bottom w:val="none" w:sz="0" w:space="0" w:color="auto"/>
            <w:right w:val="none" w:sz="0" w:space="0" w:color="auto"/>
          </w:divBdr>
        </w:div>
        <w:div w:id="1716540265">
          <w:marLeft w:val="0"/>
          <w:marRight w:val="0"/>
          <w:marTop w:val="0"/>
          <w:marBottom w:val="0"/>
          <w:divBdr>
            <w:top w:val="none" w:sz="0" w:space="0" w:color="auto"/>
            <w:left w:val="none" w:sz="0" w:space="0" w:color="auto"/>
            <w:bottom w:val="none" w:sz="0" w:space="0" w:color="auto"/>
            <w:right w:val="none" w:sz="0" w:space="0" w:color="auto"/>
          </w:divBdr>
        </w:div>
      </w:divsChild>
    </w:div>
    <w:div w:id="163016691">
      <w:bodyDiv w:val="1"/>
      <w:marLeft w:val="0"/>
      <w:marRight w:val="0"/>
      <w:marTop w:val="0"/>
      <w:marBottom w:val="0"/>
      <w:divBdr>
        <w:top w:val="none" w:sz="0" w:space="0" w:color="auto"/>
        <w:left w:val="none" w:sz="0" w:space="0" w:color="auto"/>
        <w:bottom w:val="none" w:sz="0" w:space="0" w:color="auto"/>
        <w:right w:val="none" w:sz="0" w:space="0" w:color="auto"/>
      </w:divBdr>
      <w:divsChild>
        <w:div w:id="12656792">
          <w:marLeft w:val="0"/>
          <w:marRight w:val="0"/>
          <w:marTop w:val="0"/>
          <w:marBottom w:val="0"/>
          <w:divBdr>
            <w:top w:val="none" w:sz="0" w:space="0" w:color="auto"/>
            <w:left w:val="none" w:sz="0" w:space="0" w:color="auto"/>
            <w:bottom w:val="none" w:sz="0" w:space="0" w:color="auto"/>
            <w:right w:val="none" w:sz="0" w:space="0" w:color="auto"/>
          </w:divBdr>
          <w:divsChild>
            <w:div w:id="1903446868">
              <w:marLeft w:val="0"/>
              <w:marRight w:val="0"/>
              <w:marTop w:val="0"/>
              <w:marBottom w:val="0"/>
              <w:divBdr>
                <w:top w:val="none" w:sz="0" w:space="0" w:color="auto"/>
                <w:left w:val="none" w:sz="0" w:space="0" w:color="auto"/>
                <w:bottom w:val="none" w:sz="0" w:space="0" w:color="auto"/>
                <w:right w:val="none" w:sz="0" w:space="0" w:color="auto"/>
              </w:divBdr>
              <w:divsChild>
                <w:div w:id="32902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59807">
      <w:bodyDiv w:val="1"/>
      <w:marLeft w:val="0"/>
      <w:marRight w:val="0"/>
      <w:marTop w:val="0"/>
      <w:marBottom w:val="0"/>
      <w:divBdr>
        <w:top w:val="none" w:sz="0" w:space="0" w:color="auto"/>
        <w:left w:val="none" w:sz="0" w:space="0" w:color="auto"/>
        <w:bottom w:val="none" w:sz="0" w:space="0" w:color="auto"/>
        <w:right w:val="none" w:sz="0" w:space="0" w:color="auto"/>
      </w:divBdr>
      <w:divsChild>
        <w:div w:id="599684201">
          <w:marLeft w:val="0"/>
          <w:marRight w:val="0"/>
          <w:marTop w:val="0"/>
          <w:marBottom w:val="0"/>
          <w:divBdr>
            <w:top w:val="none" w:sz="0" w:space="0" w:color="auto"/>
            <w:left w:val="none" w:sz="0" w:space="0" w:color="auto"/>
            <w:bottom w:val="none" w:sz="0" w:space="0" w:color="auto"/>
            <w:right w:val="none" w:sz="0" w:space="0" w:color="auto"/>
          </w:divBdr>
          <w:divsChild>
            <w:div w:id="1046759653">
              <w:marLeft w:val="0"/>
              <w:marRight w:val="0"/>
              <w:marTop w:val="0"/>
              <w:marBottom w:val="0"/>
              <w:divBdr>
                <w:top w:val="none" w:sz="0" w:space="0" w:color="auto"/>
                <w:left w:val="none" w:sz="0" w:space="0" w:color="auto"/>
                <w:bottom w:val="none" w:sz="0" w:space="0" w:color="auto"/>
                <w:right w:val="none" w:sz="0" w:space="0" w:color="auto"/>
              </w:divBdr>
              <w:divsChild>
                <w:div w:id="22632639">
                  <w:marLeft w:val="0"/>
                  <w:marRight w:val="0"/>
                  <w:marTop w:val="0"/>
                  <w:marBottom w:val="0"/>
                  <w:divBdr>
                    <w:top w:val="none" w:sz="0" w:space="0" w:color="auto"/>
                    <w:left w:val="none" w:sz="0" w:space="0" w:color="auto"/>
                    <w:bottom w:val="none" w:sz="0" w:space="0" w:color="auto"/>
                    <w:right w:val="none" w:sz="0" w:space="0" w:color="auto"/>
                  </w:divBdr>
                  <w:divsChild>
                    <w:div w:id="449589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83410">
      <w:bodyDiv w:val="1"/>
      <w:marLeft w:val="0"/>
      <w:marRight w:val="0"/>
      <w:marTop w:val="0"/>
      <w:marBottom w:val="0"/>
      <w:divBdr>
        <w:top w:val="none" w:sz="0" w:space="0" w:color="auto"/>
        <w:left w:val="none" w:sz="0" w:space="0" w:color="auto"/>
        <w:bottom w:val="none" w:sz="0" w:space="0" w:color="auto"/>
        <w:right w:val="none" w:sz="0" w:space="0" w:color="auto"/>
      </w:divBdr>
    </w:div>
    <w:div w:id="214318733">
      <w:bodyDiv w:val="1"/>
      <w:marLeft w:val="0"/>
      <w:marRight w:val="0"/>
      <w:marTop w:val="0"/>
      <w:marBottom w:val="0"/>
      <w:divBdr>
        <w:top w:val="none" w:sz="0" w:space="0" w:color="auto"/>
        <w:left w:val="none" w:sz="0" w:space="0" w:color="auto"/>
        <w:bottom w:val="none" w:sz="0" w:space="0" w:color="auto"/>
        <w:right w:val="none" w:sz="0" w:space="0" w:color="auto"/>
      </w:divBdr>
    </w:div>
    <w:div w:id="218637754">
      <w:bodyDiv w:val="1"/>
      <w:marLeft w:val="0"/>
      <w:marRight w:val="0"/>
      <w:marTop w:val="0"/>
      <w:marBottom w:val="0"/>
      <w:divBdr>
        <w:top w:val="none" w:sz="0" w:space="0" w:color="auto"/>
        <w:left w:val="none" w:sz="0" w:space="0" w:color="auto"/>
        <w:bottom w:val="none" w:sz="0" w:space="0" w:color="auto"/>
        <w:right w:val="none" w:sz="0" w:space="0" w:color="auto"/>
      </w:divBdr>
    </w:div>
    <w:div w:id="228733411">
      <w:bodyDiv w:val="1"/>
      <w:marLeft w:val="0"/>
      <w:marRight w:val="0"/>
      <w:marTop w:val="0"/>
      <w:marBottom w:val="0"/>
      <w:divBdr>
        <w:top w:val="none" w:sz="0" w:space="0" w:color="auto"/>
        <w:left w:val="none" w:sz="0" w:space="0" w:color="auto"/>
        <w:bottom w:val="none" w:sz="0" w:space="0" w:color="auto"/>
        <w:right w:val="none" w:sz="0" w:space="0" w:color="auto"/>
      </w:divBdr>
    </w:div>
    <w:div w:id="240216450">
      <w:bodyDiv w:val="1"/>
      <w:marLeft w:val="0"/>
      <w:marRight w:val="0"/>
      <w:marTop w:val="0"/>
      <w:marBottom w:val="0"/>
      <w:divBdr>
        <w:top w:val="none" w:sz="0" w:space="0" w:color="auto"/>
        <w:left w:val="none" w:sz="0" w:space="0" w:color="auto"/>
        <w:bottom w:val="none" w:sz="0" w:space="0" w:color="auto"/>
        <w:right w:val="none" w:sz="0" w:space="0" w:color="auto"/>
      </w:divBdr>
    </w:div>
    <w:div w:id="256601119">
      <w:bodyDiv w:val="1"/>
      <w:marLeft w:val="0"/>
      <w:marRight w:val="0"/>
      <w:marTop w:val="0"/>
      <w:marBottom w:val="0"/>
      <w:divBdr>
        <w:top w:val="none" w:sz="0" w:space="0" w:color="auto"/>
        <w:left w:val="none" w:sz="0" w:space="0" w:color="auto"/>
        <w:bottom w:val="none" w:sz="0" w:space="0" w:color="auto"/>
        <w:right w:val="none" w:sz="0" w:space="0" w:color="auto"/>
      </w:divBdr>
      <w:divsChild>
        <w:div w:id="466356198">
          <w:marLeft w:val="0"/>
          <w:marRight w:val="0"/>
          <w:marTop w:val="0"/>
          <w:marBottom w:val="0"/>
          <w:divBdr>
            <w:top w:val="none" w:sz="0" w:space="0" w:color="auto"/>
            <w:left w:val="none" w:sz="0" w:space="0" w:color="auto"/>
            <w:bottom w:val="none" w:sz="0" w:space="0" w:color="auto"/>
            <w:right w:val="none" w:sz="0" w:space="0" w:color="auto"/>
          </w:divBdr>
          <w:divsChild>
            <w:div w:id="1914503879">
              <w:marLeft w:val="0"/>
              <w:marRight w:val="0"/>
              <w:marTop w:val="0"/>
              <w:marBottom w:val="0"/>
              <w:divBdr>
                <w:top w:val="none" w:sz="0" w:space="0" w:color="auto"/>
                <w:left w:val="none" w:sz="0" w:space="0" w:color="auto"/>
                <w:bottom w:val="none" w:sz="0" w:space="0" w:color="auto"/>
                <w:right w:val="none" w:sz="0" w:space="0" w:color="auto"/>
              </w:divBdr>
              <w:divsChild>
                <w:div w:id="42114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084374">
      <w:bodyDiv w:val="1"/>
      <w:marLeft w:val="0"/>
      <w:marRight w:val="0"/>
      <w:marTop w:val="0"/>
      <w:marBottom w:val="0"/>
      <w:divBdr>
        <w:top w:val="none" w:sz="0" w:space="0" w:color="auto"/>
        <w:left w:val="none" w:sz="0" w:space="0" w:color="auto"/>
        <w:bottom w:val="none" w:sz="0" w:space="0" w:color="auto"/>
        <w:right w:val="none" w:sz="0" w:space="0" w:color="auto"/>
      </w:divBdr>
    </w:div>
    <w:div w:id="305160683">
      <w:bodyDiv w:val="1"/>
      <w:marLeft w:val="0"/>
      <w:marRight w:val="0"/>
      <w:marTop w:val="0"/>
      <w:marBottom w:val="0"/>
      <w:divBdr>
        <w:top w:val="none" w:sz="0" w:space="0" w:color="auto"/>
        <w:left w:val="none" w:sz="0" w:space="0" w:color="auto"/>
        <w:bottom w:val="none" w:sz="0" w:space="0" w:color="auto"/>
        <w:right w:val="none" w:sz="0" w:space="0" w:color="auto"/>
      </w:divBdr>
      <w:divsChild>
        <w:div w:id="386300023">
          <w:marLeft w:val="0"/>
          <w:marRight w:val="0"/>
          <w:marTop w:val="0"/>
          <w:marBottom w:val="0"/>
          <w:divBdr>
            <w:top w:val="none" w:sz="0" w:space="0" w:color="auto"/>
            <w:left w:val="none" w:sz="0" w:space="0" w:color="auto"/>
            <w:bottom w:val="none" w:sz="0" w:space="0" w:color="auto"/>
            <w:right w:val="none" w:sz="0" w:space="0" w:color="auto"/>
          </w:divBdr>
          <w:divsChild>
            <w:div w:id="1722288926">
              <w:marLeft w:val="0"/>
              <w:marRight w:val="0"/>
              <w:marTop w:val="0"/>
              <w:marBottom w:val="0"/>
              <w:divBdr>
                <w:top w:val="none" w:sz="0" w:space="0" w:color="auto"/>
                <w:left w:val="none" w:sz="0" w:space="0" w:color="auto"/>
                <w:bottom w:val="none" w:sz="0" w:space="0" w:color="auto"/>
                <w:right w:val="none" w:sz="0" w:space="0" w:color="auto"/>
              </w:divBdr>
              <w:divsChild>
                <w:div w:id="155858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779976">
      <w:bodyDiv w:val="1"/>
      <w:marLeft w:val="0"/>
      <w:marRight w:val="0"/>
      <w:marTop w:val="0"/>
      <w:marBottom w:val="0"/>
      <w:divBdr>
        <w:top w:val="none" w:sz="0" w:space="0" w:color="auto"/>
        <w:left w:val="none" w:sz="0" w:space="0" w:color="auto"/>
        <w:bottom w:val="none" w:sz="0" w:space="0" w:color="auto"/>
        <w:right w:val="none" w:sz="0" w:space="0" w:color="auto"/>
      </w:divBdr>
      <w:divsChild>
        <w:div w:id="1080903665">
          <w:marLeft w:val="0"/>
          <w:marRight w:val="0"/>
          <w:marTop w:val="0"/>
          <w:marBottom w:val="0"/>
          <w:divBdr>
            <w:top w:val="none" w:sz="0" w:space="0" w:color="auto"/>
            <w:left w:val="none" w:sz="0" w:space="0" w:color="auto"/>
            <w:bottom w:val="none" w:sz="0" w:space="0" w:color="auto"/>
            <w:right w:val="none" w:sz="0" w:space="0" w:color="auto"/>
          </w:divBdr>
          <w:divsChild>
            <w:div w:id="1131241957">
              <w:marLeft w:val="0"/>
              <w:marRight w:val="0"/>
              <w:marTop w:val="0"/>
              <w:marBottom w:val="0"/>
              <w:divBdr>
                <w:top w:val="none" w:sz="0" w:space="0" w:color="auto"/>
                <w:left w:val="none" w:sz="0" w:space="0" w:color="auto"/>
                <w:bottom w:val="none" w:sz="0" w:space="0" w:color="auto"/>
                <w:right w:val="none" w:sz="0" w:space="0" w:color="auto"/>
              </w:divBdr>
              <w:divsChild>
                <w:div w:id="89859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042248">
      <w:bodyDiv w:val="1"/>
      <w:marLeft w:val="0"/>
      <w:marRight w:val="0"/>
      <w:marTop w:val="0"/>
      <w:marBottom w:val="0"/>
      <w:divBdr>
        <w:top w:val="none" w:sz="0" w:space="0" w:color="auto"/>
        <w:left w:val="none" w:sz="0" w:space="0" w:color="auto"/>
        <w:bottom w:val="none" w:sz="0" w:space="0" w:color="auto"/>
        <w:right w:val="none" w:sz="0" w:space="0" w:color="auto"/>
      </w:divBdr>
    </w:div>
    <w:div w:id="356389636">
      <w:bodyDiv w:val="1"/>
      <w:marLeft w:val="0"/>
      <w:marRight w:val="0"/>
      <w:marTop w:val="0"/>
      <w:marBottom w:val="0"/>
      <w:divBdr>
        <w:top w:val="none" w:sz="0" w:space="0" w:color="auto"/>
        <w:left w:val="none" w:sz="0" w:space="0" w:color="auto"/>
        <w:bottom w:val="none" w:sz="0" w:space="0" w:color="auto"/>
        <w:right w:val="none" w:sz="0" w:space="0" w:color="auto"/>
      </w:divBdr>
      <w:divsChild>
        <w:div w:id="115949299">
          <w:marLeft w:val="0"/>
          <w:marRight w:val="0"/>
          <w:marTop w:val="0"/>
          <w:marBottom w:val="0"/>
          <w:divBdr>
            <w:top w:val="none" w:sz="0" w:space="0" w:color="auto"/>
            <w:left w:val="none" w:sz="0" w:space="0" w:color="auto"/>
            <w:bottom w:val="none" w:sz="0" w:space="0" w:color="auto"/>
            <w:right w:val="none" w:sz="0" w:space="0" w:color="auto"/>
          </w:divBdr>
          <w:divsChild>
            <w:div w:id="1319647213">
              <w:marLeft w:val="0"/>
              <w:marRight w:val="0"/>
              <w:marTop w:val="0"/>
              <w:marBottom w:val="0"/>
              <w:divBdr>
                <w:top w:val="none" w:sz="0" w:space="0" w:color="auto"/>
                <w:left w:val="none" w:sz="0" w:space="0" w:color="auto"/>
                <w:bottom w:val="none" w:sz="0" w:space="0" w:color="auto"/>
                <w:right w:val="none" w:sz="0" w:space="0" w:color="auto"/>
              </w:divBdr>
              <w:divsChild>
                <w:div w:id="191014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777646">
      <w:bodyDiv w:val="1"/>
      <w:marLeft w:val="0"/>
      <w:marRight w:val="0"/>
      <w:marTop w:val="0"/>
      <w:marBottom w:val="0"/>
      <w:divBdr>
        <w:top w:val="none" w:sz="0" w:space="0" w:color="auto"/>
        <w:left w:val="none" w:sz="0" w:space="0" w:color="auto"/>
        <w:bottom w:val="none" w:sz="0" w:space="0" w:color="auto"/>
        <w:right w:val="none" w:sz="0" w:space="0" w:color="auto"/>
      </w:divBdr>
    </w:div>
    <w:div w:id="388697400">
      <w:bodyDiv w:val="1"/>
      <w:marLeft w:val="0"/>
      <w:marRight w:val="0"/>
      <w:marTop w:val="0"/>
      <w:marBottom w:val="0"/>
      <w:divBdr>
        <w:top w:val="none" w:sz="0" w:space="0" w:color="auto"/>
        <w:left w:val="none" w:sz="0" w:space="0" w:color="auto"/>
        <w:bottom w:val="none" w:sz="0" w:space="0" w:color="auto"/>
        <w:right w:val="none" w:sz="0" w:space="0" w:color="auto"/>
      </w:divBdr>
    </w:div>
    <w:div w:id="397561525">
      <w:bodyDiv w:val="1"/>
      <w:marLeft w:val="0"/>
      <w:marRight w:val="0"/>
      <w:marTop w:val="0"/>
      <w:marBottom w:val="0"/>
      <w:divBdr>
        <w:top w:val="none" w:sz="0" w:space="0" w:color="auto"/>
        <w:left w:val="none" w:sz="0" w:space="0" w:color="auto"/>
        <w:bottom w:val="none" w:sz="0" w:space="0" w:color="auto"/>
        <w:right w:val="none" w:sz="0" w:space="0" w:color="auto"/>
      </w:divBdr>
      <w:divsChild>
        <w:div w:id="930313869">
          <w:marLeft w:val="0"/>
          <w:marRight w:val="0"/>
          <w:marTop w:val="0"/>
          <w:marBottom w:val="0"/>
          <w:divBdr>
            <w:top w:val="none" w:sz="0" w:space="0" w:color="auto"/>
            <w:left w:val="none" w:sz="0" w:space="0" w:color="auto"/>
            <w:bottom w:val="none" w:sz="0" w:space="0" w:color="auto"/>
            <w:right w:val="none" w:sz="0" w:space="0" w:color="auto"/>
          </w:divBdr>
          <w:divsChild>
            <w:div w:id="954405690">
              <w:marLeft w:val="0"/>
              <w:marRight w:val="0"/>
              <w:marTop w:val="0"/>
              <w:marBottom w:val="0"/>
              <w:divBdr>
                <w:top w:val="none" w:sz="0" w:space="0" w:color="auto"/>
                <w:left w:val="none" w:sz="0" w:space="0" w:color="auto"/>
                <w:bottom w:val="none" w:sz="0" w:space="0" w:color="auto"/>
                <w:right w:val="none" w:sz="0" w:space="0" w:color="auto"/>
              </w:divBdr>
              <w:divsChild>
                <w:div w:id="143427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299877">
      <w:bodyDiv w:val="1"/>
      <w:marLeft w:val="0"/>
      <w:marRight w:val="0"/>
      <w:marTop w:val="0"/>
      <w:marBottom w:val="0"/>
      <w:divBdr>
        <w:top w:val="none" w:sz="0" w:space="0" w:color="auto"/>
        <w:left w:val="none" w:sz="0" w:space="0" w:color="auto"/>
        <w:bottom w:val="none" w:sz="0" w:space="0" w:color="auto"/>
        <w:right w:val="none" w:sz="0" w:space="0" w:color="auto"/>
      </w:divBdr>
    </w:div>
    <w:div w:id="409346984">
      <w:bodyDiv w:val="1"/>
      <w:marLeft w:val="0"/>
      <w:marRight w:val="0"/>
      <w:marTop w:val="0"/>
      <w:marBottom w:val="0"/>
      <w:divBdr>
        <w:top w:val="none" w:sz="0" w:space="0" w:color="auto"/>
        <w:left w:val="none" w:sz="0" w:space="0" w:color="auto"/>
        <w:bottom w:val="none" w:sz="0" w:space="0" w:color="auto"/>
        <w:right w:val="none" w:sz="0" w:space="0" w:color="auto"/>
      </w:divBdr>
      <w:divsChild>
        <w:div w:id="1348019356">
          <w:marLeft w:val="0"/>
          <w:marRight w:val="0"/>
          <w:marTop w:val="0"/>
          <w:marBottom w:val="0"/>
          <w:divBdr>
            <w:top w:val="none" w:sz="0" w:space="0" w:color="auto"/>
            <w:left w:val="none" w:sz="0" w:space="0" w:color="auto"/>
            <w:bottom w:val="none" w:sz="0" w:space="0" w:color="auto"/>
            <w:right w:val="none" w:sz="0" w:space="0" w:color="auto"/>
          </w:divBdr>
          <w:divsChild>
            <w:div w:id="905803446">
              <w:marLeft w:val="0"/>
              <w:marRight w:val="0"/>
              <w:marTop w:val="0"/>
              <w:marBottom w:val="0"/>
              <w:divBdr>
                <w:top w:val="none" w:sz="0" w:space="0" w:color="auto"/>
                <w:left w:val="none" w:sz="0" w:space="0" w:color="auto"/>
                <w:bottom w:val="none" w:sz="0" w:space="0" w:color="auto"/>
                <w:right w:val="none" w:sz="0" w:space="0" w:color="auto"/>
              </w:divBdr>
              <w:divsChild>
                <w:div w:id="1771585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1706847">
      <w:bodyDiv w:val="1"/>
      <w:marLeft w:val="0"/>
      <w:marRight w:val="0"/>
      <w:marTop w:val="0"/>
      <w:marBottom w:val="0"/>
      <w:divBdr>
        <w:top w:val="none" w:sz="0" w:space="0" w:color="auto"/>
        <w:left w:val="none" w:sz="0" w:space="0" w:color="auto"/>
        <w:bottom w:val="none" w:sz="0" w:space="0" w:color="auto"/>
        <w:right w:val="none" w:sz="0" w:space="0" w:color="auto"/>
      </w:divBdr>
      <w:divsChild>
        <w:div w:id="1668710357">
          <w:marLeft w:val="0"/>
          <w:marRight w:val="0"/>
          <w:marTop w:val="0"/>
          <w:marBottom w:val="0"/>
          <w:divBdr>
            <w:top w:val="none" w:sz="0" w:space="0" w:color="auto"/>
            <w:left w:val="none" w:sz="0" w:space="0" w:color="auto"/>
            <w:bottom w:val="none" w:sz="0" w:space="0" w:color="auto"/>
            <w:right w:val="none" w:sz="0" w:space="0" w:color="auto"/>
          </w:divBdr>
        </w:div>
        <w:div w:id="1129322515">
          <w:marLeft w:val="0"/>
          <w:marRight w:val="0"/>
          <w:marTop w:val="0"/>
          <w:marBottom w:val="0"/>
          <w:divBdr>
            <w:top w:val="none" w:sz="0" w:space="0" w:color="auto"/>
            <w:left w:val="none" w:sz="0" w:space="0" w:color="auto"/>
            <w:bottom w:val="none" w:sz="0" w:space="0" w:color="auto"/>
            <w:right w:val="none" w:sz="0" w:space="0" w:color="auto"/>
          </w:divBdr>
        </w:div>
        <w:div w:id="383872635">
          <w:marLeft w:val="0"/>
          <w:marRight w:val="0"/>
          <w:marTop w:val="0"/>
          <w:marBottom w:val="0"/>
          <w:divBdr>
            <w:top w:val="none" w:sz="0" w:space="0" w:color="auto"/>
            <w:left w:val="none" w:sz="0" w:space="0" w:color="auto"/>
            <w:bottom w:val="none" w:sz="0" w:space="0" w:color="auto"/>
            <w:right w:val="none" w:sz="0" w:space="0" w:color="auto"/>
          </w:divBdr>
        </w:div>
      </w:divsChild>
    </w:div>
    <w:div w:id="428084645">
      <w:bodyDiv w:val="1"/>
      <w:marLeft w:val="0"/>
      <w:marRight w:val="0"/>
      <w:marTop w:val="0"/>
      <w:marBottom w:val="0"/>
      <w:divBdr>
        <w:top w:val="none" w:sz="0" w:space="0" w:color="auto"/>
        <w:left w:val="none" w:sz="0" w:space="0" w:color="auto"/>
        <w:bottom w:val="none" w:sz="0" w:space="0" w:color="auto"/>
        <w:right w:val="none" w:sz="0" w:space="0" w:color="auto"/>
      </w:divBdr>
    </w:div>
    <w:div w:id="462237246">
      <w:bodyDiv w:val="1"/>
      <w:marLeft w:val="0"/>
      <w:marRight w:val="0"/>
      <w:marTop w:val="0"/>
      <w:marBottom w:val="0"/>
      <w:divBdr>
        <w:top w:val="none" w:sz="0" w:space="0" w:color="auto"/>
        <w:left w:val="none" w:sz="0" w:space="0" w:color="auto"/>
        <w:bottom w:val="none" w:sz="0" w:space="0" w:color="auto"/>
        <w:right w:val="none" w:sz="0" w:space="0" w:color="auto"/>
      </w:divBdr>
    </w:div>
    <w:div w:id="465584155">
      <w:bodyDiv w:val="1"/>
      <w:marLeft w:val="0"/>
      <w:marRight w:val="0"/>
      <w:marTop w:val="0"/>
      <w:marBottom w:val="0"/>
      <w:divBdr>
        <w:top w:val="none" w:sz="0" w:space="0" w:color="auto"/>
        <w:left w:val="none" w:sz="0" w:space="0" w:color="auto"/>
        <w:bottom w:val="none" w:sz="0" w:space="0" w:color="auto"/>
        <w:right w:val="none" w:sz="0" w:space="0" w:color="auto"/>
      </w:divBdr>
      <w:divsChild>
        <w:div w:id="1555896632">
          <w:marLeft w:val="480"/>
          <w:marRight w:val="0"/>
          <w:marTop w:val="0"/>
          <w:marBottom w:val="0"/>
          <w:divBdr>
            <w:top w:val="none" w:sz="0" w:space="0" w:color="auto"/>
            <w:left w:val="none" w:sz="0" w:space="0" w:color="auto"/>
            <w:bottom w:val="none" w:sz="0" w:space="0" w:color="auto"/>
            <w:right w:val="none" w:sz="0" w:space="0" w:color="auto"/>
          </w:divBdr>
          <w:divsChild>
            <w:div w:id="123196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899814">
      <w:bodyDiv w:val="1"/>
      <w:marLeft w:val="0"/>
      <w:marRight w:val="0"/>
      <w:marTop w:val="0"/>
      <w:marBottom w:val="0"/>
      <w:divBdr>
        <w:top w:val="none" w:sz="0" w:space="0" w:color="auto"/>
        <w:left w:val="none" w:sz="0" w:space="0" w:color="auto"/>
        <w:bottom w:val="none" w:sz="0" w:space="0" w:color="auto"/>
        <w:right w:val="none" w:sz="0" w:space="0" w:color="auto"/>
      </w:divBdr>
      <w:divsChild>
        <w:div w:id="1924799297">
          <w:marLeft w:val="0"/>
          <w:marRight w:val="0"/>
          <w:marTop w:val="0"/>
          <w:marBottom w:val="0"/>
          <w:divBdr>
            <w:top w:val="none" w:sz="0" w:space="0" w:color="auto"/>
            <w:left w:val="none" w:sz="0" w:space="0" w:color="auto"/>
            <w:bottom w:val="none" w:sz="0" w:space="0" w:color="auto"/>
            <w:right w:val="none" w:sz="0" w:space="0" w:color="auto"/>
          </w:divBdr>
          <w:divsChild>
            <w:div w:id="258804916">
              <w:marLeft w:val="0"/>
              <w:marRight w:val="0"/>
              <w:marTop w:val="0"/>
              <w:marBottom w:val="0"/>
              <w:divBdr>
                <w:top w:val="none" w:sz="0" w:space="0" w:color="auto"/>
                <w:left w:val="none" w:sz="0" w:space="0" w:color="auto"/>
                <w:bottom w:val="none" w:sz="0" w:space="0" w:color="auto"/>
                <w:right w:val="none" w:sz="0" w:space="0" w:color="auto"/>
              </w:divBdr>
              <w:divsChild>
                <w:div w:id="178442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1628650">
      <w:bodyDiv w:val="1"/>
      <w:marLeft w:val="0"/>
      <w:marRight w:val="0"/>
      <w:marTop w:val="0"/>
      <w:marBottom w:val="0"/>
      <w:divBdr>
        <w:top w:val="none" w:sz="0" w:space="0" w:color="auto"/>
        <w:left w:val="none" w:sz="0" w:space="0" w:color="auto"/>
        <w:bottom w:val="none" w:sz="0" w:space="0" w:color="auto"/>
        <w:right w:val="none" w:sz="0" w:space="0" w:color="auto"/>
      </w:divBdr>
      <w:divsChild>
        <w:div w:id="525800673">
          <w:marLeft w:val="0"/>
          <w:marRight w:val="0"/>
          <w:marTop w:val="0"/>
          <w:marBottom w:val="0"/>
          <w:divBdr>
            <w:top w:val="none" w:sz="0" w:space="0" w:color="auto"/>
            <w:left w:val="none" w:sz="0" w:space="0" w:color="auto"/>
            <w:bottom w:val="none" w:sz="0" w:space="0" w:color="auto"/>
            <w:right w:val="none" w:sz="0" w:space="0" w:color="auto"/>
          </w:divBdr>
          <w:divsChild>
            <w:div w:id="2126921356">
              <w:marLeft w:val="0"/>
              <w:marRight w:val="0"/>
              <w:marTop w:val="0"/>
              <w:marBottom w:val="0"/>
              <w:divBdr>
                <w:top w:val="none" w:sz="0" w:space="0" w:color="auto"/>
                <w:left w:val="none" w:sz="0" w:space="0" w:color="auto"/>
                <w:bottom w:val="none" w:sz="0" w:space="0" w:color="auto"/>
                <w:right w:val="none" w:sz="0" w:space="0" w:color="auto"/>
              </w:divBdr>
              <w:divsChild>
                <w:div w:id="768894736">
                  <w:marLeft w:val="0"/>
                  <w:marRight w:val="0"/>
                  <w:marTop w:val="0"/>
                  <w:marBottom w:val="0"/>
                  <w:divBdr>
                    <w:top w:val="none" w:sz="0" w:space="0" w:color="auto"/>
                    <w:left w:val="none" w:sz="0" w:space="0" w:color="auto"/>
                    <w:bottom w:val="none" w:sz="0" w:space="0" w:color="auto"/>
                    <w:right w:val="none" w:sz="0" w:space="0" w:color="auto"/>
                  </w:divBdr>
                  <w:divsChild>
                    <w:div w:id="1207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2280438">
      <w:bodyDiv w:val="1"/>
      <w:marLeft w:val="0"/>
      <w:marRight w:val="0"/>
      <w:marTop w:val="0"/>
      <w:marBottom w:val="0"/>
      <w:divBdr>
        <w:top w:val="none" w:sz="0" w:space="0" w:color="auto"/>
        <w:left w:val="none" w:sz="0" w:space="0" w:color="auto"/>
        <w:bottom w:val="none" w:sz="0" w:space="0" w:color="auto"/>
        <w:right w:val="none" w:sz="0" w:space="0" w:color="auto"/>
      </w:divBdr>
    </w:div>
    <w:div w:id="485443097">
      <w:bodyDiv w:val="1"/>
      <w:marLeft w:val="0"/>
      <w:marRight w:val="0"/>
      <w:marTop w:val="0"/>
      <w:marBottom w:val="0"/>
      <w:divBdr>
        <w:top w:val="none" w:sz="0" w:space="0" w:color="auto"/>
        <w:left w:val="none" w:sz="0" w:space="0" w:color="auto"/>
        <w:bottom w:val="none" w:sz="0" w:space="0" w:color="auto"/>
        <w:right w:val="none" w:sz="0" w:space="0" w:color="auto"/>
      </w:divBdr>
      <w:divsChild>
        <w:div w:id="67577212">
          <w:marLeft w:val="480"/>
          <w:marRight w:val="0"/>
          <w:marTop w:val="0"/>
          <w:marBottom w:val="0"/>
          <w:divBdr>
            <w:top w:val="none" w:sz="0" w:space="0" w:color="auto"/>
            <w:left w:val="none" w:sz="0" w:space="0" w:color="auto"/>
            <w:bottom w:val="none" w:sz="0" w:space="0" w:color="auto"/>
            <w:right w:val="none" w:sz="0" w:space="0" w:color="auto"/>
          </w:divBdr>
          <w:divsChild>
            <w:div w:id="207408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650206">
      <w:bodyDiv w:val="1"/>
      <w:marLeft w:val="0"/>
      <w:marRight w:val="0"/>
      <w:marTop w:val="0"/>
      <w:marBottom w:val="0"/>
      <w:divBdr>
        <w:top w:val="none" w:sz="0" w:space="0" w:color="auto"/>
        <w:left w:val="none" w:sz="0" w:space="0" w:color="auto"/>
        <w:bottom w:val="none" w:sz="0" w:space="0" w:color="auto"/>
        <w:right w:val="none" w:sz="0" w:space="0" w:color="auto"/>
      </w:divBdr>
    </w:div>
    <w:div w:id="510728608">
      <w:bodyDiv w:val="1"/>
      <w:marLeft w:val="0"/>
      <w:marRight w:val="0"/>
      <w:marTop w:val="0"/>
      <w:marBottom w:val="0"/>
      <w:divBdr>
        <w:top w:val="none" w:sz="0" w:space="0" w:color="auto"/>
        <w:left w:val="none" w:sz="0" w:space="0" w:color="auto"/>
        <w:bottom w:val="none" w:sz="0" w:space="0" w:color="auto"/>
        <w:right w:val="none" w:sz="0" w:space="0" w:color="auto"/>
      </w:divBdr>
    </w:div>
    <w:div w:id="522062434">
      <w:bodyDiv w:val="1"/>
      <w:marLeft w:val="0"/>
      <w:marRight w:val="0"/>
      <w:marTop w:val="0"/>
      <w:marBottom w:val="0"/>
      <w:divBdr>
        <w:top w:val="none" w:sz="0" w:space="0" w:color="auto"/>
        <w:left w:val="none" w:sz="0" w:space="0" w:color="auto"/>
        <w:bottom w:val="none" w:sz="0" w:space="0" w:color="auto"/>
        <w:right w:val="none" w:sz="0" w:space="0" w:color="auto"/>
      </w:divBdr>
      <w:divsChild>
        <w:div w:id="519319800">
          <w:marLeft w:val="0"/>
          <w:marRight w:val="0"/>
          <w:marTop w:val="0"/>
          <w:marBottom w:val="0"/>
          <w:divBdr>
            <w:top w:val="none" w:sz="0" w:space="0" w:color="auto"/>
            <w:left w:val="none" w:sz="0" w:space="0" w:color="auto"/>
            <w:bottom w:val="none" w:sz="0" w:space="0" w:color="auto"/>
            <w:right w:val="none" w:sz="0" w:space="0" w:color="auto"/>
          </w:divBdr>
          <w:divsChild>
            <w:div w:id="1999770539">
              <w:marLeft w:val="0"/>
              <w:marRight w:val="0"/>
              <w:marTop w:val="0"/>
              <w:marBottom w:val="0"/>
              <w:divBdr>
                <w:top w:val="none" w:sz="0" w:space="0" w:color="auto"/>
                <w:left w:val="none" w:sz="0" w:space="0" w:color="auto"/>
                <w:bottom w:val="none" w:sz="0" w:space="0" w:color="auto"/>
                <w:right w:val="none" w:sz="0" w:space="0" w:color="auto"/>
              </w:divBdr>
              <w:divsChild>
                <w:div w:id="214119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421688">
      <w:bodyDiv w:val="1"/>
      <w:marLeft w:val="0"/>
      <w:marRight w:val="0"/>
      <w:marTop w:val="0"/>
      <w:marBottom w:val="0"/>
      <w:divBdr>
        <w:top w:val="none" w:sz="0" w:space="0" w:color="auto"/>
        <w:left w:val="none" w:sz="0" w:space="0" w:color="auto"/>
        <w:bottom w:val="none" w:sz="0" w:space="0" w:color="auto"/>
        <w:right w:val="none" w:sz="0" w:space="0" w:color="auto"/>
      </w:divBdr>
      <w:divsChild>
        <w:div w:id="909001513">
          <w:marLeft w:val="480"/>
          <w:marRight w:val="0"/>
          <w:marTop w:val="0"/>
          <w:marBottom w:val="0"/>
          <w:divBdr>
            <w:top w:val="none" w:sz="0" w:space="0" w:color="auto"/>
            <w:left w:val="none" w:sz="0" w:space="0" w:color="auto"/>
            <w:bottom w:val="none" w:sz="0" w:space="0" w:color="auto"/>
            <w:right w:val="none" w:sz="0" w:space="0" w:color="auto"/>
          </w:divBdr>
          <w:divsChild>
            <w:div w:id="39127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97613">
      <w:bodyDiv w:val="1"/>
      <w:marLeft w:val="0"/>
      <w:marRight w:val="0"/>
      <w:marTop w:val="0"/>
      <w:marBottom w:val="0"/>
      <w:divBdr>
        <w:top w:val="none" w:sz="0" w:space="0" w:color="auto"/>
        <w:left w:val="none" w:sz="0" w:space="0" w:color="auto"/>
        <w:bottom w:val="none" w:sz="0" w:space="0" w:color="auto"/>
        <w:right w:val="none" w:sz="0" w:space="0" w:color="auto"/>
      </w:divBdr>
    </w:div>
    <w:div w:id="594094582">
      <w:bodyDiv w:val="1"/>
      <w:marLeft w:val="0"/>
      <w:marRight w:val="0"/>
      <w:marTop w:val="0"/>
      <w:marBottom w:val="0"/>
      <w:divBdr>
        <w:top w:val="none" w:sz="0" w:space="0" w:color="auto"/>
        <w:left w:val="none" w:sz="0" w:space="0" w:color="auto"/>
        <w:bottom w:val="none" w:sz="0" w:space="0" w:color="auto"/>
        <w:right w:val="none" w:sz="0" w:space="0" w:color="auto"/>
      </w:divBdr>
    </w:div>
    <w:div w:id="601762398">
      <w:bodyDiv w:val="1"/>
      <w:marLeft w:val="0"/>
      <w:marRight w:val="0"/>
      <w:marTop w:val="0"/>
      <w:marBottom w:val="0"/>
      <w:divBdr>
        <w:top w:val="none" w:sz="0" w:space="0" w:color="auto"/>
        <w:left w:val="none" w:sz="0" w:space="0" w:color="auto"/>
        <w:bottom w:val="none" w:sz="0" w:space="0" w:color="auto"/>
        <w:right w:val="none" w:sz="0" w:space="0" w:color="auto"/>
      </w:divBdr>
    </w:div>
    <w:div w:id="607397077">
      <w:bodyDiv w:val="1"/>
      <w:marLeft w:val="0"/>
      <w:marRight w:val="0"/>
      <w:marTop w:val="0"/>
      <w:marBottom w:val="0"/>
      <w:divBdr>
        <w:top w:val="none" w:sz="0" w:space="0" w:color="auto"/>
        <w:left w:val="none" w:sz="0" w:space="0" w:color="auto"/>
        <w:bottom w:val="none" w:sz="0" w:space="0" w:color="auto"/>
        <w:right w:val="none" w:sz="0" w:space="0" w:color="auto"/>
      </w:divBdr>
    </w:div>
    <w:div w:id="617571500">
      <w:bodyDiv w:val="1"/>
      <w:marLeft w:val="0"/>
      <w:marRight w:val="0"/>
      <w:marTop w:val="0"/>
      <w:marBottom w:val="0"/>
      <w:divBdr>
        <w:top w:val="none" w:sz="0" w:space="0" w:color="auto"/>
        <w:left w:val="none" w:sz="0" w:space="0" w:color="auto"/>
        <w:bottom w:val="none" w:sz="0" w:space="0" w:color="auto"/>
        <w:right w:val="none" w:sz="0" w:space="0" w:color="auto"/>
      </w:divBdr>
    </w:div>
    <w:div w:id="633490633">
      <w:bodyDiv w:val="1"/>
      <w:marLeft w:val="0"/>
      <w:marRight w:val="0"/>
      <w:marTop w:val="0"/>
      <w:marBottom w:val="0"/>
      <w:divBdr>
        <w:top w:val="none" w:sz="0" w:space="0" w:color="auto"/>
        <w:left w:val="none" w:sz="0" w:space="0" w:color="auto"/>
        <w:bottom w:val="none" w:sz="0" w:space="0" w:color="auto"/>
        <w:right w:val="none" w:sz="0" w:space="0" w:color="auto"/>
      </w:divBdr>
    </w:div>
    <w:div w:id="656343785">
      <w:bodyDiv w:val="1"/>
      <w:marLeft w:val="0"/>
      <w:marRight w:val="0"/>
      <w:marTop w:val="0"/>
      <w:marBottom w:val="0"/>
      <w:divBdr>
        <w:top w:val="none" w:sz="0" w:space="0" w:color="auto"/>
        <w:left w:val="none" w:sz="0" w:space="0" w:color="auto"/>
        <w:bottom w:val="none" w:sz="0" w:space="0" w:color="auto"/>
        <w:right w:val="none" w:sz="0" w:space="0" w:color="auto"/>
      </w:divBdr>
      <w:divsChild>
        <w:div w:id="418596139">
          <w:marLeft w:val="0"/>
          <w:marRight w:val="0"/>
          <w:marTop w:val="0"/>
          <w:marBottom w:val="0"/>
          <w:divBdr>
            <w:top w:val="none" w:sz="0" w:space="0" w:color="auto"/>
            <w:left w:val="none" w:sz="0" w:space="0" w:color="auto"/>
            <w:bottom w:val="none" w:sz="0" w:space="0" w:color="auto"/>
            <w:right w:val="none" w:sz="0" w:space="0" w:color="auto"/>
          </w:divBdr>
          <w:divsChild>
            <w:div w:id="1601789636">
              <w:marLeft w:val="0"/>
              <w:marRight w:val="0"/>
              <w:marTop w:val="0"/>
              <w:marBottom w:val="0"/>
              <w:divBdr>
                <w:top w:val="none" w:sz="0" w:space="0" w:color="auto"/>
                <w:left w:val="none" w:sz="0" w:space="0" w:color="auto"/>
                <w:bottom w:val="none" w:sz="0" w:space="0" w:color="auto"/>
                <w:right w:val="none" w:sz="0" w:space="0" w:color="auto"/>
              </w:divBdr>
              <w:divsChild>
                <w:div w:id="96064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204610">
      <w:bodyDiv w:val="1"/>
      <w:marLeft w:val="0"/>
      <w:marRight w:val="0"/>
      <w:marTop w:val="0"/>
      <w:marBottom w:val="0"/>
      <w:divBdr>
        <w:top w:val="none" w:sz="0" w:space="0" w:color="auto"/>
        <w:left w:val="none" w:sz="0" w:space="0" w:color="auto"/>
        <w:bottom w:val="none" w:sz="0" w:space="0" w:color="auto"/>
        <w:right w:val="none" w:sz="0" w:space="0" w:color="auto"/>
      </w:divBdr>
    </w:div>
    <w:div w:id="683820261">
      <w:bodyDiv w:val="1"/>
      <w:marLeft w:val="0"/>
      <w:marRight w:val="0"/>
      <w:marTop w:val="0"/>
      <w:marBottom w:val="0"/>
      <w:divBdr>
        <w:top w:val="none" w:sz="0" w:space="0" w:color="auto"/>
        <w:left w:val="none" w:sz="0" w:space="0" w:color="auto"/>
        <w:bottom w:val="none" w:sz="0" w:space="0" w:color="auto"/>
        <w:right w:val="none" w:sz="0" w:space="0" w:color="auto"/>
      </w:divBdr>
    </w:div>
    <w:div w:id="684095281">
      <w:bodyDiv w:val="1"/>
      <w:marLeft w:val="0"/>
      <w:marRight w:val="0"/>
      <w:marTop w:val="0"/>
      <w:marBottom w:val="0"/>
      <w:divBdr>
        <w:top w:val="none" w:sz="0" w:space="0" w:color="auto"/>
        <w:left w:val="none" w:sz="0" w:space="0" w:color="auto"/>
        <w:bottom w:val="none" w:sz="0" w:space="0" w:color="auto"/>
        <w:right w:val="none" w:sz="0" w:space="0" w:color="auto"/>
      </w:divBdr>
    </w:div>
    <w:div w:id="716780414">
      <w:bodyDiv w:val="1"/>
      <w:marLeft w:val="0"/>
      <w:marRight w:val="0"/>
      <w:marTop w:val="0"/>
      <w:marBottom w:val="0"/>
      <w:divBdr>
        <w:top w:val="none" w:sz="0" w:space="0" w:color="auto"/>
        <w:left w:val="none" w:sz="0" w:space="0" w:color="auto"/>
        <w:bottom w:val="none" w:sz="0" w:space="0" w:color="auto"/>
        <w:right w:val="none" w:sz="0" w:space="0" w:color="auto"/>
      </w:divBdr>
      <w:divsChild>
        <w:div w:id="1068696447">
          <w:marLeft w:val="0"/>
          <w:marRight w:val="0"/>
          <w:marTop w:val="0"/>
          <w:marBottom w:val="0"/>
          <w:divBdr>
            <w:top w:val="none" w:sz="0" w:space="0" w:color="auto"/>
            <w:left w:val="none" w:sz="0" w:space="0" w:color="auto"/>
            <w:bottom w:val="none" w:sz="0" w:space="0" w:color="auto"/>
            <w:right w:val="none" w:sz="0" w:space="0" w:color="auto"/>
          </w:divBdr>
          <w:divsChild>
            <w:div w:id="915364041">
              <w:marLeft w:val="0"/>
              <w:marRight w:val="0"/>
              <w:marTop w:val="0"/>
              <w:marBottom w:val="0"/>
              <w:divBdr>
                <w:top w:val="none" w:sz="0" w:space="0" w:color="auto"/>
                <w:left w:val="none" w:sz="0" w:space="0" w:color="auto"/>
                <w:bottom w:val="none" w:sz="0" w:space="0" w:color="auto"/>
                <w:right w:val="none" w:sz="0" w:space="0" w:color="auto"/>
              </w:divBdr>
              <w:divsChild>
                <w:div w:id="75205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110639">
      <w:bodyDiv w:val="1"/>
      <w:marLeft w:val="0"/>
      <w:marRight w:val="0"/>
      <w:marTop w:val="0"/>
      <w:marBottom w:val="0"/>
      <w:divBdr>
        <w:top w:val="none" w:sz="0" w:space="0" w:color="auto"/>
        <w:left w:val="none" w:sz="0" w:space="0" w:color="auto"/>
        <w:bottom w:val="none" w:sz="0" w:space="0" w:color="auto"/>
        <w:right w:val="none" w:sz="0" w:space="0" w:color="auto"/>
      </w:divBdr>
    </w:div>
    <w:div w:id="738795441">
      <w:bodyDiv w:val="1"/>
      <w:marLeft w:val="0"/>
      <w:marRight w:val="0"/>
      <w:marTop w:val="0"/>
      <w:marBottom w:val="0"/>
      <w:divBdr>
        <w:top w:val="none" w:sz="0" w:space="0" w:color="auto"/>
        <w:left w:val="none" w:sz="0" w:space="0" w:color="auto"/>
        <w:bottom w:val="none" w:sz="0" w:space="0" w:color="auto"/>
        <w:right w:val="none" w:sz="0" w:space="0" w:color="auto"/>
      </w:divBdr>
    </w:div>
    <w:div w:id="770248969">
      <w:bodyDiv w:val="1"/>
      <w:marLeft w:val="0"/>
      <w:marRight w:val="0"/>
      <w:marTop w:val="0"/>
      <w:marBottom w:val="0"/>
      <w:divBdr>
        <w:top w:val="none" w:sz="0" w:space="0" w:color="auto"/>
        <w:left w:val="none" w:sz="0" w:space="0" w:color="auto"/>
        <w:bottom w:val="none" w:sz="0" w:space="0" w:color="auto"/>
        <w:right w:val="none" w:sz="0" w:space="0" w:color="auto"/>
      </w:divBdr>
    </w:div>
    <w:div w:id="791217358">
      <w:bodyDiv w:val="1"/>
      <w:marLeft w:val="0"/>
      <w:marRight w:val="0"/>
      <w:marTop w:val="0"/>
      <w:marBottom w:val="0"/>
      <w:divBdr>
        <w:top w:val="none" w:sz="0" w:space="0" w:color="auto"/>
        <w:left w:val="none" w:sz="0" w:space="0" w:color="auto"/>
        <w:bottom w:val="none" w:sz="0" w:space="0" w:color="auto"/>
        <w:right w:val="none" w:sz="0" w:space="0" w:color="auto"/>
      </w:divBdr>
      <w:divsChild>
        <w:div w:id="1717583888">
          <w:marLeft w:val="0"/>
          <w:marRight w:val="0"/>
          <w:marTop w:val="0"/>
          <w:marBottom w:val="0"/>
          <w:divBdr>
            <w:top w:val="none" w:sz="0" w:space="0" w:color="auto"/>
            <w:left w:val="none" w:sz="0" w:space="0" w:color="auto"/>
            <w:bottom w:val="none" w:sz="0" w:space="0" w:color="auto"/>
            <w:right w:val="none" w:sz="0" w:space="0" w:color="auto"/>
          </w:divBdr>
          <w:divsChild>
            <w:div w:id="1572424181">
              <w:marLeft w:val="0"/>
              <w:marRight w:val="0"/>
              <w:marTop w:val="0"/>
              <w:marBottom w:val="0"/>
              <w:divBdr>
                <w:top w:val="none" w:sz="0" w:space="0" w:color="auto"/>
                <w:left w:val="none" w:sz="0" w:space="0" w:color="auto"/>
                <w:bottom w:val="none" w:sz="0" w:space="0" w:color="auto"/>
                <w:right w:val="none" w:sz="0" w:space="0" w:color="auto"/>
              </w:divBdr>
              <w:divsChild>
                <w:div w:id="103457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458975">
      <w:bodyDiv w:val="1"/>
      <w:marLeft w:val="0"/>
      <w:marRight w:val="0"/>
      <w:marTop w:val="0"/>
      <w:marBottom w:val="0"/>
      <w:divBdr>
        <w:top w:val="none" w:sz="0" w:space="0" w:color="auto"/>
        <w:left w:val="none" w:sz="0" w:space="0" w:color="auto"/>
        <w:bottom w:val="none" w:sz="0" w:space="0" w:color="auto"/>
        <w:right w:val="none" w:sz="0" w:space="0" w:color="auto"/>
      </w:divBdr>
    </w:div>
    <w:div w:id="798962709">
      <w:bodyDiv w:val="1"/>
      <w:marLeft w:val="0"/>
      <w:marRight w:val="0"/>
      <w:marTop w:val="0"/>
      <w:marBottom w:val="0"/>
      <w:divBdr>
        <w:top w:val="none" w:sz="0" w:space="0" w:color="auto"/>
        <w:left w:val="none" w:sz="0" w:space="0" w:color="auto"/>
        <w:bottom w:val="none" w:sz="0" w:space="0" w:color="auto"/>
        <w:right w:val="none" w:sz="0" w:space="0" w:color="auto"/>
      </w:divBdr>
    </w:div>
    <w:div w:id="801846397">
      <w:bodyDiv w:val="1"/>
      <w:marLeft w:val="0"/>
      <w:marRight w:val="0"/>
      <w:marTop w:val="0"/>
      <w:marBottom w:val="0"/>
      <w:divBdr>
        <w:top w:val="none" w:sz="0" w:space="0" w:color="auto"/>
        <w:left w:val="none" w:sz="0" w:space="0" w:color="auto"/>
        <w:bottom w:val="none" w:sz="0" w:space="0" w:color="auto"/>
        <w:right w:val="none" w:sz="0" w:space="0" w:color="auto"/>
      </w:divBdr>
    </w:div>
    <w:div w:id="807744064">
      <w:bodyDiv w:val="1"/>
      <w:marLeft w:val="0"/>
      <w:marRight w:val="0"/>
      <w:marTop w:val="0"/>
      <w:marBottom w:val="0"/>
      <w:divBdr>
        <w:top w:val="none" w:sz="0" w:space="0" w:color="auto"/>
        <w:left w:val="none" w:sz="0" w:space="0" w:color="auto"/>
        <w:bottom w:val="none" w:sz="0" w:space="0" w:color="auto"/>
        <w:right w:val="none" w:sz="0" w:space="0" w:color="auto"/>
      </w:divBdr>
      <w:divsChild>
        <w:div w:id="782959467">
          <w:marLeft w:val="0"/>
          <w:marRight w:val="0"/>
          <w:marTop w:val="0"/>
          <w:marBottom w:val="0"/>
          <w:divBdr>
            <w:top w:val="none" w:sz="0" w:space="0" w:color="auto"/>
            <w:left w:val="none" w:sz="0" w:space="0" w:color="auto"/>
            <w:bottom w:val="none" w:sz="0" w:space="0" w:color="auto"/>
            <w:right w:val="none" w:sz="0" w:space="0" w:color="auto"/>
          </w:divBdr>
          <w:divsChild>
            <w:div w:id="994992680">
              <w:marLeft w:val="0"/>
              <w:marRight w:val="0"/>
              <w:marTop w:val="0"/>
              <w:marBottom w:val="0"/>
              <w:divBdr>
                <w:top w:val="none" w:sz="0" w:space="0" w:color="auto"/>
                <w:left w:val="none" w:sz="0" w:space="0" w:color="auto"/>
                <w:bottom w:val="none" w:sz="0" w:space="0" w:color="auto"/>
                <w:right w:val="none" w:sz="0" w:space="0" w:color="auto"/>
              </w:divBdr>
              <w:divsChild>
                <w:div w:id="40052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708108">
      <w:bodyDiv w:val="1"/>
      <w:marLeft w:val="0"/>
      <w:marRight w:val="0"/>
      <w:marTop w:val="0"/>
      <w:marBottom w:val="0"/>
      <w:divBdr>
        <w:top w:val="none" w:sz="0" w:space="0" w:color="auto"/>
        <w:left w:val="none" w:sz="0" w:space="0" w:color="auto"/>
        <w:bottom w:val="none" w:sz="0" w:space="0" w:color="auto"/>
        <w:right w:val="none" w:sz="0" w:space="0" w:color="auto"/>
      </w:divBdr>
    </w:div>
    <w:div w:id="827017375">
      <w:bodyDiv w:val="1"/>
      <w:marLeft w:val="0"/>
      <w:marRight w:val="0"/>
      <w:marTop w:val="0"/>
      <w:marBottom w:val="0"/>
      <w:divBdr>
        <w:top w:val="none" w:sz="0" w:space="0" w:color="auto"/>
        <w:left w:val="none" w:sz="0" w:space="0" w:color="auto"/>
        <w:bottom w:val="none" w:sz="0" w:space="0" w:color="auto"/>
        <w:right w:val="none" w:sz="0" w:space="0" w:color="auto"/>
      </w:divBdr>
    </w:div>
    <w:div w:id="827356611">
      <w:bodyDiv w:val="1"/>
      <w:marLeft w:val="0"/>
      <w:marRight w:val="0"/>
      <w:marTop w:val="0"/>
      <w:marBottom w:val="0"/>
      <w:divBdr>
        <w:top w:val="none" w:sz="0" w:space="0" w:color="auto"/>
        <w:left w:val="none" w:sz="0" w:space="0" w:color="auto"/>
        <w:bottom w:val="none" w:sz="0" w:space="0" w:color="auto"/>
        <w:right w:val="none" w:sz="0" w:space="0" w:color="auto"/>
      </w:divBdr>
    </w:div>
    <w:div w:id="833102859">
      <w:bodyDiv w:val="1"/>
      <w:marLeft w:val="0"/>
      <w:marRight w:val="0"/>
      <w:marTop w:val="0"/>
      <w:marBottom w:val="0"/>
      <w:divBdr>
        <w:top w:val="none" w:sz="0" w:space="0" w:color="auto"/>
        <w:left w:val="none" w:sz="0" w:space="0" w:color="auto"/>
        <w:bottom w:val="none" w:sz="0" w:space="0" w:color="auto"/>
        <w:right w:val="none" w:sz="0" w:space="0" w:color="auto"/>
      </w:divBdr>
      <w:divsChild>
        <w:div w:id="449932594">
          <w:marLeft w:val="0"/>
          <w:marRight w:val="0"/>
          <w:marTop w:val="0"/>
          <w:marBottom w:val="0"/>
          <w:divBdr>
            <w:top w:val="none" w:sz="0" w:space="0" w:color="auto"/>
            <w:left w:val="none" w:sz="0" w:space="0" w:color="auto"/>
            <w:bottom w:val="none" w:sz="0" w:space="0" w:color="auto"/>
            <w:right w:val="none" w:sz="0" w:space="0" w:color="auto"/>
          </w:divBdr>
          <w:divsChild>
            <w:div w:id="1762723791">
              <w:marLeft w:val="0"/>
              <w:marRight w:val="0"/>
              <w:marTop w:val="0"/>
              <w:marBottom w:val="0"/>
              <w:divBdr>
                <w:top w:val="none" w:sz="0" w:space="0" w:color="auto"/>
                <w:left w:val="none" w:sz="0" w:space="0" w:color="auto"/>
                <w:bottom w:val="none" w:sz="0" w:space="0" w:color="auto"/>
                <w:right w:val="none" w:sz="0" w:space="0" w:color="auto"/>
              </w:divBdr>
              <w:divsChild>
                <w:div w:id="194230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203900">
      <w:bodyDiv w:val="1"/>
      <w:marLeft w:val="0"/>
      <w:marRight w:val="0"/>
      <w:marTop w:val="0"/>
      <w:marBottom w:val="0"/>
      <w:divBdr>
        <w:top w:val="none" w:sz="0" w:space="0" w:color="auto"/>
        <w:left w:val="none" w:sz="0" w:space="0" w:color="auto"/>
        <w:bottom w:val="none" w:sz="0" w:space="0" w:color="auto"/>
        <w:right w:val="none" w:sz="0" w:space="0" w:color="auto"/>
      </w:divBdr>
    </w:div>
    <w:div w:id="897862785">
      <w:bodyDiv w:val="1"/>
      <w:marLeft w:val="0"/>
      <w:marRight w:val="0"/>
      <w:marTop w:val="0"/>
      <w:marBottom w:val="0"/>
      <w:divBdr>
        <w:top w:val="none" w:sz="0" w:space="0" w:color="auto"/>
        <w:left w:val="none" w:sz="0" w:space="0" w:color="auto"/>
        <w:bottom w:val="none" w:sz="0" w:space="0" w:color="auto"/>
        <w:right w:val="none" w:sz="0" w:space="0" w:color="auto"/>
      </w:divBdr>
      <w:divsChild>
        <w:div w:id="1956718172">
          <w:marLeft w:val="0"/>
          <w:marRight w:val="0"/>
          <w:marTop w:val="0"/>
          <w:marBottom w:val="0"/>
          <w:divBdr>
            <w:top w:val="none" w:sz="0" w:space="0" w:color="auto"/>
            <w:left w:val="none" w:sz="0" w:space="0" w:color="auto"/>
            <w:bottom w:val="none" w:sz="0" w:space="0" w:color="auto"/>
            <w:right w:val="none" w:sz="0" w:space="0" w:color="auto"/>
          </w:divBdr>
          <w:divsChild>
            <w:div w:id="969213348">
              <w:marLeft w:val="0"/>
              <w:marRight w:val="0"/>
              <w:marTop w:val="0"/>
              <w:marBottom w:val="0"/>
              <w:divBdr>
                <w:top w:val="none" w:sz="0" w:space="0" w:color="auto"/>
                <w:left w:val="none" w:sz="0" w:space="0" w:color="auto"/>
                <w:bottom w:val="none" w:sz="0" w:space="0" w:color="auto"/>
                <w:right w:val="none" w:sz="0" w:space="0" w:color="auto"/>
              </w:divBdr>
              <w:divsChild>
                <w:div w:id="88225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640827">
      <w:bodyDiv w:val="1"/>
      <w:marLeft w:val="0"/>
      <w:marRight w:val="0"/>
      <w:marTop w:val="0"/>
      <w:marBottom w:val="0"/>
      <w:divBdr>
        <w:top w:val="none" w:sz="0" w:space="0" w:color="auto"/>
        <w:left w:val="none" w:sz="0" w:space="0" w:color="auto"/>
        <w:bottom w:val="none" w:sz="0" w:space="0" w:color="auto"/>
        <w:right w:val="none" w:sz="0" w:space="0" w:color="auto"/>
      </w:divBdr>
      <w:divsChild>
        <w:div w:id="1341738925">
          <w:marLeft w:val="0"/>
          <w:marRight w:val="0"/>
          <w:marTop w:val="0"/>
          <w:marBottom w:val="0"/>
          <w:divBdr>
            <w:top w:val="none" w:sz="0" w:space="0" w:color="auto"/>
            <w:left w:val="none" w:sz="0" w:space="0" w:color="auto"/>
            <w:bottom w:val="none" w:sz="0" w:space="0" w:color="auto"/>
            <w:right w:val="none" w:sz="0" w:space="0" w:color="auto"/>
          </w:divBdr>
          <w:divsChild>
            <w:div w:id="833032549">
              <w:marLeft w:val="0"/>
              <w:marRight w:val="0"/>
              <w:marTop w:val="0"/>
              <w:marBottom w:val="0"/>
              <w:divBdr>
                <w:top w:val="none" w:sz="0" w:space="0" w:color="auto"/>
                <w:left w:val="none" w:sz="0" w:space="0" w:color="auto"/>
                <w:bottom w:val="none" w:sz="0" w:space="0" w:color="auto"/>
                <w:right w:val="none" w:sz="0" w:space="0" w:color="auto"/>
              </w:divBdr>
              <w:divsChild>
                <w:div w:id="208105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581809">
      <w:bodyDiv w:val="1"/>
      <w:marLeft w:val="0"/>
      <w:marRight w:val="0"/>
      <w:marTop w:val="0"/>
      <w:marBottom w:val="0"/>
      <w:divBdr>
        <w:top w:val="none" w:sz="0" w:space="0" w:color="auto"/>
        <w:left w:val="none" w:sz="0" w:space="0" w:color="auto"/>
        <w:bottom w:val="none" w:sz="0" w:space="0" w:color="auto"/>
        <w:right w:val="none" w:sz="0" w:space="0" w:color="auto"/>
      </w:divBdr>
    </w:div>
    <w:div w:id="955137931">
      <w:bodyDiv w:val="1"/>
      <w:marLeft w:val="0"/>
      <w:marRight w:val="0"/>
      <w:marTop w:val="0"/>
      <w:marBottom w:val="0"/>
      <w:divBdr>
        <w:top w:val="none" w:sz="0" w:space="0" w:color="auto"/>
        <w:left w:val="none" w:sz="0" w:space="0" w:color="auto"/>
        <w:bottom w:val="none" w:sz="0" w:space="0" w:color="auto"/>
        <w:right w:val="none" w:sz="0" w:space="0" w:color="auto"/>
      </w:divBdr>
    </w:div>
    <w:div w:id="962930326">
      <w:bodyDiv w:val="1"/>
      <w:marLeft w:val="0"/>
      <w:marRight w:val="0"/>
      <w:marTop w:val="0"/>
      <w:marBottom w:val="0"/>
      <w:divBdr>
        <w:top w:val="none" w:sz="0" w:space="0" w:color="auto"/>
        <w:left w:val="none" w:sz="0" w:space="0" w:color="auto"/>
        <w:bottom w:val="none" w:sz="0" w:space="0" w:color="auto"/>
        <w:right w:val="none" w:sz="0" w:space="0" w:color="auto"/>
      </w:divBdr>
      <w:divsChild>
        <w:div w:id="1558005793">
          <w:marLeft w:val="0"/>
          <w:marRight w:val="0"/>
          <w:marTop w:val="0"/>
          <w:marBottom w:val="0"/>
          <w:divBdr>
            <w:top w:val="none" w:sz="0" w:space="0" w:color="auto"/>
            <w:left w:val="none" w:sz="0" w:space="0" w:color="auto"/>
            <w:bottom w:val="none" w:sz="0" w:space="0" w:color="auto"/>
            <w:right w:val="none" w:sz="0" w:space="0" w:color="auto"/>
          </w:divBdr>
          <w:divsChild>
            <w:div w:id="1289164567">
              <w:marLeft w:val="0"/>
              <w:marRight w:val="0"/>
              <w:marTop w:val="0"/>
              <w:marBottom w:val="0"/>
              <w:divBdr>
                <w:top w:val="none" w:sz="0" w:space="0" w:color="auto"/>
                <w:left w:val="none" w:sz="0" w:space="0" w:color="auto"/>
                <w:bottom w:val="none" w:sz="0" w:space="0" w:color="auto"/>
                <w:right w:val="none" w:sz="0" w:space="0" w:color="auto"/>
              </w:divBdr>
              <w:divsChild>
                <w:div w:id="166593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623830">
      <w:bodyDiv w:val="1"/>
      <w:marLeft w:val="0"/>
      <w:marRight w:val="0"/>
      <w:marTop w:val="0"/>
      <w:marBottom w:val="0"/>
      <w:divBdr>
        <w:top w:val="none" w:sz="0" w:space="0" w:color="auto"/>
        <w:left w:val="none" w:sz="0" w:space="0" w:color="auto"/>
        <w:bottom w:val="none" w:sz="0" w:space="0" w:color="auto"/>
        <w:right w:val="none" w:sz="0" w:space="0" w:color="auto"/>
      </w:divBdr>
      <w:divsChild>
        <w:div w:id="816193446">
          <w:marLeft w:val="0"/>
          <w:marRight w:val="0"/>
          <w:marTop w:val="0"/>
          <w:marBottom w:val="0"/>
          <w:divBdr>
            <w:top w:val="none" w:sz="0" w:space="0" w:color="auto"/>
            <w:left w:val="none" w:sz="0" w:space="0" w:color="auto"/>
            <w:bottom w:val="none" w:sz="0" w:space="0" w:color="auto"/>
            <w:right w:val="none" w:sz="0" w:space="0" w:color="auto"/>
          </w:divBdr>
          <w:divsChild>
            <w:div w:id="1361518135">
              <w:marLeft w:val="0"/>
              <w:marRight w:val="0"/>
              <w:marTop w:val="0"/>
              <w:marBottom w:val="0"/>
              <w:divBdr>
                <w:top w:val="none" w:sz="0" w:space="0" w:color="auto"/>
                <w:left w:val="none" w:sz="0" w:space="0" w:color="auto"/>
                <w:bottom w:val="none" w:sz="0" w:space="0" w:color="auto"/>
                <w:right w:val="none" w:sz="0" w:space="0" w:color="auto"/>
              </w:divBdr>
              <w:divsChild>
                <w:div w:id="26484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355400">
      <w:bodyDiv w:val="1"/>
      <w:marLeft w:val="0"/>
      <w:marRight w:val="0"/>
      <w:marTop w:val="0"/>
      <w:marBottom w:val="0"/>
      <w:divBdr>
        <w:top w:val="none" w:sz="0" w:space="0" w:color="auto"/>
        <w:left w:val="none" w:sz="0" w:space="0" w:color="auto"/>
        <w:bottom w:val="none" w:sz="0" w:space="0" w:color="auto"/>
        <w:right w:val="none" w:sz="0" w:space="0" w:color="auto"/>
      </w:divBdr>
      <w:divsChild>
        <w:div w:id="429084068">
          <w:marLeft w:val="0"/>
          <w:marRight w:val="0"/>
          <w:marTop w:val="0"/>
          <w:marBottom w:val="0"/>
          <w:divBdr>
            <w:top w:val="none" w:sz="0" w:space="0" w:color="auto"/>
            <w:left w:val="none" w:sz="0" w:space="0" w:color="auto"/>
            <w:bottom w:val="none" w:sz="0" w:space="0" w:color="auto"/>
            <w:right w:val="none" w:sz="0" w:space="0" w:color="auto"/>
          </w:divBdr>
          <w:divsChild>
            <w:div w:id="1251619821">
              <w:marLeft w:val="0"/>
              <w:marRight w:val="0"/>
              <w:marTop w:val="0"/>
              <w:marBottom w:val="0"/>
              <w:divBdr>
                <w:top w:val="none" w:sz="0" w:space="0" w:color="auto"/>
                <w:left w:val="none" w:sz="0" w:space="0" w:color="auto"/>
                <w:bottom w:val="none" w:sz="0" w:space="0" w:color="auto"/>
                <w:right w:val="none" w:sz="0" w:space="0" w:color="auto"/>
              </w:divBdr>
              <w:divsChild>
                <w:div w:id="454369581">
                  <w:marLeft w:val="0"/>
                  <w:marRight w:val="0"/>
                  <w:marTop w:val="0"/>
                  <w:marBottom w:val="0"/>
                  <w:divBdr>
                    <w:top w:val="none" w:sz="0" w:space="0" w:color="auto"/>
                    <w:left w:val="none" w:sz="0" w:space="0" w:color="auto"/>
                    <w:bottom w:val="none" w:sz="0" w:space="0" w:color="auto"/>
                    <w:right w:val="none" w:sz="0" w:space="0" w:color="auto"/>
                  </w:divBdr>
                  <w:divsChild>
                    <w:div w:id="113371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7944142">
      <w:bodyDiv w:val="1"/>
      <w:marLeft w:val="0"/>
      <w:marRight w:val="0"/>
      <w:marTop w:val="0"/>
      <w:marBottom w:val="0"/>
      <w:divBdr>
        <w:top w:val="none" w:sz="0" w:space="0" w:color="auto"/>
        <w:left w:val="none" w:sz="0" w:space="0" w:color="auto"/>
        <w:bottom w:val="none" w:sz="0" w:space="0" w:color="auto"/>
        <w:right w:val="none" w:sz="0" w:space="0" w:color="auto"/>
      </w:divBdr>
    </w:div>
    <w:div w:id="1104307263">
      <w:bodyDiv w:val="1"/>
      <w:marLeft w:val="0"/>
      <w:marRight w:val="0"/>
      <w:marTop w:val="0"/>
      <w:marBottom w:val="0"/>
      <w:divBdr>
        <w:top w:val="none" w:sz="0" w:space="0" w:color="auto"/>
        <w:left w:val="none" w:sz="0" w:space="0" w:color="auto"/>
        <w:bottom w:val="none" w:sz="0" w:space="0" w:color="auto"/>
        <w:right w:val="none" w:sz="0" w:space="0" w:color="auto"/>
      </w:divBdr>
    </w:div>
    <w:div w:id="1111361749">
      <w:bodyDiv w:val="1"/>
      <w:marLeft w:val="0"/>
      <w:marRight w:val="0"/>
      <w:marTop w:val="0"/>
      <w:marBottom w:val="0"/>
      <w:divBdr>
        <w:top w:val="none" w:sz="0" w:space="0" w:color="auto"/>
        <w:left w:val="none" w:sz="0" w:space="0" w:color="auto"/>
        <w:bottom w:val="none" w:sz="0" w:space="0" w:color="auto"/>
        <w:right w:val="none" w:sz="0" w:space="0" w:color="auto"/>
      </w:divBdr>
    </w:div>
    <w:div w:id="1117023121">
      <w:bodyDiv w:val="1"/>
      <w:marLeft w:val="0"/>
      <w:marRight w:val="0"/>
      <w:marTop w:val="0"/>
      <w:marBottom w:val="0"/>
      <w:divBdr>
        <w:top w:val="none" w:sz="0" w:space="0" w:color="auto"/>
        <w:left w:val="none" w:sz="0" w:space="0" w:color="auto"/>
        <w:bottom w:val="none" w:sz="0" w:space="0" w:color="auto"/>
        <w:right w:val="none" w:sz="0" w:space="0" w:color="auto"/>
      </w:divBdr>
      <w:divsChild>
        <w:div w:id="94249137">
          <w:marLeft w:val="0"/>
          <w:marRight w:val="0"/>
          <w:marTop w:val="0"/>
          <w:marBottom w:val="0"/>
          <w:divBdr>
            <w:top w:val="none" w:sz="0" w:space="0" w:color="auto"/>
            <w:left w:val="none" w:sz="0" w:space="0" w:color="auto"/>
            <w:bottom w:val="none" w:sz="0" w:space="0" w:color="auto"/>
            <w:right w:val="none" w:sz="0" w:space="0" w:color="auto"/>
          </w:divBdr>
          <w:divsChild>
            <w:div w:id="837618595">
              <w:marLeft w:val="0"/>
              <w:marRight w:val="0"/>
              <w:marTop w:val="0"/>
              <w:marBottom w:val="0"/>
              <w:divBdr>
                <w:top w:val="none" w:sz="0" w:space="0" w:color="auto"/>
                <w:left w:val="none" w:sz="0" w:space="0" w:color="auto"/>
                <w:bottom w:val="none" w:sz="0" w:space="0" w:color="auto"/>
                <w:right w:val="none" w:sz="0" w:space="0" w:color="auto"/>
              </w:divBdr>
              <w:divsChild>
                <w:div w:id="142517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970262">
      <w:bodyDiv w:val="1"/>
      <w:marLeft w:val="0"/>
      <w:marRight w:val="0"/>
      <w:marTop w:val="0"/>
      <w:marBottom w:val="0"/>
      <w:divBdr>
        <w:top w:val="none" w:sz="0" w:space="0" w:color="auto"/>
        <w:left w:val="none" w:sz="0" w:space="0" w:color="auto"/>
        <w:bottom w:val="none" w:sz="0" w:space="0" w:color="auto"/>
        <w:right w:val="none" w:sz="0" w:space="0" w:color="auto"/>
      </w:divBdr>
      <w:divsChild>
        <w:div w:id="646470098">
          <w:marLeft w:val="0"/>
          <w:marRight w:val="0"/>
          <w:marTop w:val="0"/>
          <w:marBottom w:val="0"/>
          <w:divBdr>
            <w:top w:val="none" w:sz="0" w:space="0" w:color="auto"/>
            <w:left w:val="none" w:sz="0" w:space="0" w:color="auto"/>
            <w:bottom w:val="none" w:sz="0" w:space="0" w:color="auto"/>
            <w:right w:val="none" w:sz="0" w:space="0" w:color="auto"/>
          </w:divBdr>
        </w:div>
        <w:div w:id="1978681697">
          <w:marLeft w:val="0"/>
          <w:marRight w:val="0"/>
          <w:marTop w:val="0"/>
          <w:marBottom w:val="0"/>
          <w:divBdr>
            <w:top w:val="none" w:sz="0" w:space="0" w:color="auto"/>
            <w:left w:val="none" w:sz="0" w:space="0" w:color="auto"/>
            <w:bottom w:val="none" w:sz="0" w:space="0" w:color="auto"/>
            <w:right w:val="none" w:sz="0" w:space="0" w:color="auto"/>
          </w:divBdr>
        </w:div>
        <w:div w:id="925847266">
          <w:marLeft w:val="0"/>
          <w:marRight w:val="0"/>
          <w:marTop w:val="0"/>
          <w:marBottom w:val="0"/>
          <w:divBdr>
            <w:top w:val="none" w:sz="0" w:space="0" w:color="auto"/>
            <w:left w:val="none" w:sz="0" w:space="0" w:color="auto"/>
            <w:bottom w:val="none" w:sz="0" w:space="0" w:color="auto"/>
            <w:right w:val="none" w:sz="0" w:space="0" w:color="auto"/>
          </w:divBdr>
        </w:div>
        <w:div w:id="1449399007">
          <w:marLeft w:val="0"/>
          <w:marRight w:val="0"/>
          <w:marTop w:val="0"/>
          <w:marBottom w:val="0"/>
          <w:divBdr>
            <w:top w:val="none" w:sz="0" w:space="0" w:color="auto"/>
            <w:left w:val="none" w:sz="0" w:space="0" w:color="auto"/>
            <w:bottom w:val="none" w:sz="0" w:space="0" w:color="auto"/>
            <w:right w:val="none" w:sz="0" w:space="0" w:color="auto"/>
          </w:divBdr>
        </w:div>
        <w:div w:id="1983807055">
          <w:marLeft w:val="0"/>
          <w:marRight w:val="0"/>
          <w:marTop w:val="0"/>
          <w:marBottom w:val="0"/>
          <w:divBdr>
            <w:top w:val="none" w:sz="0" w:space="0" w:color="auto"/>
            <w:left w:val="none" w:sz="0" w:space="0" w:color="auto"/>
            <w:bottom w:val="none" w:sz="0" w:space="0" w:color="auto"/>
            <w:right w:val="none" w:sz="0" w:space="0" w:color="auto"/>
          </w:divBdr>
        </w:div>
      </w:divsChild>
    </w:div>
    <w:div w:id="1161584197">
      <w:bodyDiv w:val="1"/>
      <w:marLeft w:val="0"/>
      <w:marRight w:val="0"/>
      <w:marTop w:val="0"/>
      <w:marBottom w:val="0"/>
      <w:divBdr>
        <w:top w:val="none" w:sz="0" w:space="0" w:color="auto"/>
        <w:left w:val="none" w:sz="0" w:space="0" w:color="auto"/>
        <w:bottom w:val="none" w:sz="0" w:space="0" w:color="auto"/>
        <w:right w:val="none" w:sz="0" w:space="0" w:color="auto"/>
      </w:divBdr>
    </w:div>
    <w:div w:id="1184123997">
      <w:bodyDiv w:val="1"/>
      <w:marLeft w:val="0"/>
      <w:marRight w:val="0"/>
      <w:marTop w:val="0"/>
      <w:marBottom w:val="0"/>
      <w:divBdr>
        <w:top w:val="none" w:sz="0" w:space="0" w:color="auto"/>
        <w:left w:val="none" w:sz="0" w:space="0" w:color="auto"/>
        <w:bottom w:val="none" w:sz="0" w:space="0" w:color="auto"/>
        <w:right w:val="none" w:sz="0" w:space="0" w:color="auto"/>
      </w:divBdr>
      <w:divsChild>
        <w:div w:id="1124419547">
          <w:marLeft w:val="0"/>
          <w:marRight w:val="0"/>
          <w:marTop w:val="0"/>
          <w:marBottom w:val="0"/>
          <w:divBdr>
            <w:top w:val="none" w:sz="0" w:space="0" w:color="auto"/>
            <w:left w:val="none" w:sz="0" w:space="0" w:color="auto"/>
            <w:bottom w:val="none" w:sz="0" w:space="0" w:color="auto"/>
            <w:right w:val="none" w:sz="0" w:space="0" w:color="auto"/>
          </w:divBdr>
          <w:divsChild>
            <w:div w:id="821314289">
              <w:marLeft w:val="0"/>
              <w:marRight w:val="0"/>
              <w:marTop w:val="0"/>
              <w:marBottom w:val="0"/>
              <w:divBdr>
                <w:top w:val="none" w:sz="0" w:space="0" w:color="auto"/>
                <w:left w:val="none" w:sz="0" w:space="0" w:color="auto"/>
                <w:bottom w:val="none" w:sz="0" w:space="0" w:color="auto"/>
                <w:right w:val="none" w:sz="0" w:space="0" w:color="auto"/>
              </w:divBdr>
              <w:divsChild>
                <w:div w:id="130141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911085">
      <w:bodyDiv w:val="1"/>
      <w:marLeft w:val="0"/>
      <w:marRight w:val="0"/>
      <w:marTop w:val="0"/>
      <w:marBottom w:val="0"/>
      <w:divBdr>
        <w:top w:val="none" w:sz="0" w:space="0" w:color="auto"/>
        <w:left w:val="none" w:sz="0" w:space="0" w:color="auto"/>
        <w:bottom w:val="none" w:sz="0" w:space="0" w:color="auto"/>
        <w:right w:val="none" w:sz="0" w:space="0" w:color="auto"/>
      </w:divBdr>
    </w:div>
    <w:div w:id="1205174046">
      <w:bodyDiv w:val="1"/>
      <w:marLeft w:val="0"/>
      <w:marRight w:val="0"/>
      <w:marTop w:val="0"/>
      <w:marBottom w:val="0"/>
      <w:divBdr>
        <w:top w:val="none" w:sz="0" w:space="0" w:color="auto"/>
        <w:left w:val="none" w:sz="0" w:space="0" w:color="auto"/>
        <w:bottom w:val="none" w:sz="0" w:space="0" w:color="auto"/>
        <w:right w:val="none" w:sz="0" w:space="0" w:color="auto"/>
      </w:divBdr>
    </w:div>
    <w:div w:id="1208369606">
      <w:bodyDiv w:val="1"/>
      <w:marLeft w:val="0"/>
      <w:marRight w:val="0"/>
      <w:marTop w:val="0"/>
      <w:marBottom w:val="0"/>
      <w:divBdr>
        <w:top w:val="none" w:sz="0" w:space="0" w:color="auto"/>
        <w:left w:val="none" w:sz="0" w:space="0" w:color="auto"/>
        <w:bottom w:val="none" w:sz="0" w:space="0" w:color="auto"/>
        <w:right w:val="none" w:sz="0" w:space="0" w:color="auto"/>
      </w:divBdr>
    </w:div>
    <w:div w:id="1231232382">
      <w:bodyDiv w:val="1"/>
      <w:marLeft w:val="0"/>
      <w:marRight w:val="0"/>
      <w:marTop w:val="0"/>
      <w:marBottom w:val="0"/>
      <w:divBdr>
        <w:top w:val="none" w:sz="0" w:space="0" w:color="auto"/>
        <w:left w:val="none" w:sz="0" w:space="0" w:color="auto"/>
        <w:bottom w:val="none" w:sz="0" w:space="0" w:color="auto"/>
        <w:right w:val="none" w:sz="0" w:space="0" w:color="auto"/>
      </w:divBdr>
      <w:divsChild>
        <w:div w:id="2133357161">
          <w:marLeft w:val="0"/>
          <w:marRight w:val="0"/>
          <w:marTop w:val="0"/>
          <w:marBottom w:val="0"/>
          <w:divBdr>
            <w:top w:val="none" w:sz="0" w:space="0" w:color="auto"/>
            <w:left w:val="none" w:sz="0" w:space="0" w:color="auto"/>
            <w:bottom w:val="none" w:sz="0" w:space="0" w:color="auto"/>
            <w:right w:val="none" w:sz="0" w:space="0" w:color="auto"/>
          </w:divBdr>
          <w:divsChild>
            <w:div w:id="1486781138">
              <w:marLeft w:val="0"/>
              <w:marRight w:val="0"/>
              <w:marTop w:val="0"/>
              <w:marBottom w:val="0"/>
              <w:divBdr>
                <w:top w:val="none" w:sz="0" w:space="0" w:color="auto"/>
                <w:left w:val="none" w:sz="0" w:space="0" w:color="auto"/>
                <w:bottom w:val="none" w:sz="0" w:space="0" w:color="auto"/>
                <w:right w:val="none" w:sz="0" w:space="0" w:color="auto"/>
              </w:divBdr>
              <w:divsChild>
                <w:div w:id="194992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834622">
      <w:bodyDiv w:val="1"/>
      <w:marLeft w:val="0"/>
      <w:marRight w:val="0"/>
      <w:marTop w:val="0"/>
      <w:marBottom w:val="0"/>
      <w:divBdr>
        <w:top w:val="none" w:sz="0" w:space="0" w:color="auto"/>
        <w:left w:val="none" w:sz="0" w:space="0" w:color="auto"/>
        <w:bottom w:val="none" w:sz="0" w:space="0" w:color="auto"/>
        <w:right w:val="none" w:sz="0" w:space="0" w:color="auto"/>
      </w:divBdr>
    </w:div>
    <w:div w:id="1279027388">
      <w:bodyDiv w:val="1"/>
      <w:marLeft w:val="0"/>
      <w:marRight w:val="0"/>
      <w:marTop w:val="0"/>
      <w:marBottom w:val="0"/>
      <w:divBdr>
        <w:top w:val="none" w:sz="0" w:space="0" w:color="auto"/>
        <w:left w:val="none" w:sz="0" w:space="0" w:color="auto"/>
        <w:bottom w:val="none" w:sz="0" w:space="0" w:color="auto"/>
        <w:right w:val="none" w:sz="0" w:space="0" w:color="auto"/>
      </w:divBdr>
      <w:divsChild>
        <w:div w:id="1112745131">
          <w:marLeft w:val="0"/>
          <w:marRight w:val="0"/>
          <w:marTop w:val="0"/>
          <w:marBottom w:val="0"/>
          <w:divBdr>
            <w:top w:val="none" w:sz="0" w:space="0" w:color="auto"/>
            <w:left w:val="none" w:sz="0" w:space="0" w:color="auto"/>
            <w:bottom w:val="none" w:sz="0" w:space="0" w:color="auto"/>
            <w:right w:val="none" w:sz="0" w:space="0" w:color="auto"/>
          </w:divBdr>
          <w:divsChild>
            <w:div w:id="1429888552">
              <w:marLeft w:val="0"/>
              <w:marRight w:val="0"/>
              <w:marTop w:val="0"/>
              <w:marBottom w:val="0"/>
              <w:divBdr>
                <w:top w:val="none" w:sz="0" w:space="0" w:color="auto"/>
                <w:left w:val="none" w:sz="0" w:space="0" w:color="auto"/>
                <w:bottom w:val="none" w:sz="0" w:space="0" w:color="auto"/>
                <w:right w:val="none" w:sz="0" w:space="0" w:color="auto"/>
              </w:divBdr>
              <w:divsChild>
                <w:div w:id="19473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491188">
      <w:bodyDiv w:val="1"/>
      <w:marLeft w:val="0"/>
      <w:marRight w:val="0"/>
      <w:marTop w:val="0"/>
      <w:marBottom w:val="0"/>
      <w:divBdr>
        <w:top w:val="none" w:sz="0" w:space="0" w:color="auto"/>
        <w:left w:val="none" w:sz="0" w:space="0" w:color="auto"/>
        <w:bottom w:val="none" w:sz="0" w:space="0" w:color="auto"/>
        <w:right w:val="none" w:sz="0" w:space="0" w:color="auto"/>
      </w:divBdr>
      <w:divsChild>
        <w:div w:id="1940210945">
          <w:marLeft w:val="0"/>
          <w:marRight w:val="0"/>
          <w:marTop w:val="0"/>
          <w:marBottom w:val="0"/>
          <w:divBdr>
            <w:top w:val="none" w:sz="0" w:space="0" w:color="auto"/>
            <w:left w:val="none" w:sz="0" w:space="0" w:color="auto"/>
            <w:bottom w:val="none" w:sz="0" w:space="0" w:color="auto"/>
            <w:right w:val="none" w:sz="0" w:space="0" w:color="auto"/>
          </w:divBdr>
          <w:divsChild>
            <w:div w:id="1570529800">
              <w:marLeft w:val="0"/>
              <w:marRight w:val="0"/>
              <w:marTop w:val="0"/>
              <w:marBottom w:val="0"/>
              <w:divBdr>
                <w:top w:val="none" w:sz="0" w:space="0" w:color="auto"/>
                <w:left w:val="none" w:sz="0" w:space="0" w:color="auto"/>
                <w:bottom w:val="none" w:sz="0" w:space="0" w:color="auto"/>
                <w:right w:val="none" w:sz="0" w:space="0" w:color="auto"/>
              </w:divBdr>
              <w:divsChild>
                <w:div w:id="68579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443241">
      <w:bodyDiv w:val="1"/>
      <w:marLeft w:val="0"/>
      <w:marRight w:val="0"/>
      <w:marTop w:val="0"/>
      <w:marBottom w:val="0"/>
      <w:divBdr>
        <w:top w:val="none" w:sz="0" w:space="0" w:color="auto"/>
        <w:left w:val="none" w:sz="0" w:space="0" w:color="auto"/>
        <w:bottom w:val="none" w:sz="0" w:space="0" w:color="auto"/>
        <w:right w:val="none" w:sz="0" w:space="0" w:color="auto"/>
      </w:divBdr>
    </w:div>
    <w:div w:id="1295602776">
      <w:bodyDiv w:val="1"/>
      <w:marLeft w:val="0"/>
      <w:marRight w:val="0"/>
      <w:marTop w:val="0"/>
      <w:marBottom w:val="0"/>
      <w:divBdr>
        <w:top w:val="none" w:sz="0" w:space="0" w:color="auto"/>
        <w:left w:val="none" w:sz="0" w:space="0" w:color="auto"/>
        <w:bottom w:val="none" w:sz="0" w:space="0" w:color="auto"/>
        <w:right w:val="none" w:sz="0" w:space="0" w:color="auto"/>
      </w:divBdr>
      <w:divsChild>
        <w:div w:id="1211577880">
          <w:marLeft w:val="0"/>
          <w:marRight w:val="0"/>
          <w:marTop w:val="0"/>
          <w:marBottom w:val="0"/>
          <w:divBdr>
            <w:top w:val="none" w:sz="0" w:space="0" w:color="auto"/>
            <w:left w:val="none" w:sz="0" w:space="0" w:color="auto"/>
            <w:bottom w:val="none" w:sz="0" w:space="0" w:color="auto"/>
            <w:right w:val="none" w:sz="0" w:space="0" w:color="auto"/>
          </w:divBdr>
          <w:divsChild>
            <w:div w:id="256182928">
              <w:marLeft w:val="0"/>
              <w:marRight w:val="0"/>
              <w:marTop w:val="0"/>
              <w:marBottom w:val="0"/>
              <w:divBdr>
                <w:top w:val="none" w:sz="0" w:space="0" w:color="auto"/>
                <w:left w:val="none" w:sz="0" w:space="0" w:color="auto"/>
                <w:bottom w:val="none" w:sz="0" w:space="0" w:color="auto"/>
                <w:right w:val="none" w:sz="0" w:space="0" w:color="auto"/>
              </w:divBdr>
              <w:divsChild>
                <w:div w:id="170629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462399">
      <w:bodyDiv w:val="1"/>
      <w:marLeft w:val="0"/>
      <w:marRight w:val="0"/>
      <w:marTop w:val="0"/>
      <w:marBottom w:val="0"/>
      <w:divBdr>
        <w:top w:val="none" w:sz="0" w:space="0" w:color="auto"/>
        <w:left w:val="none" w:sz="0" w:space="0" w:color="auto"/>
        <w:bottom w:val="none" w:sz="0" w:space="0" w:color="auto"/>
        <w:right w:val="none" w:sz="0" w:space="0" w:color="auto"/>
      </w:divBdr>
      <w:divsChild>
        <w:div w:id="1681085968">
          <w:marLeft w:val="0"/>
          <w:marRight w:val="0"/>
          <w:marTop w:val="0"/>
          <w:marBottom w:val="0"/>
          <w:divBdr>
            <w:top w:val="none" w:sz="0" w:space="0" w:color="auto"/>
            <w:left w:val="none" w:sz="0" w:space="0" w:color="auto"/>
            <w:bottom w:val="none" w:sz="0" w:space="0" w:color="auto"/>
            <w:right w:val="none" w:sz="0" w:space="0" w:color="auto"/>
          </w:divBdr>
          <w:divsChild>
            <w:div w:id="2069528100">
              <w:marLeft w:val="0"/>
              <w:marRight w:val="0"/>
              <w:marTop w:val="0"/>
              <w:marBottom w:val="0"/>
              <w:divBdr>
                <w:top w:val="none" w:sz="0" w:space="0" w:color="auto"/>
                <w:left w:val="none" w:sz="0" w:space="0" w:color="auto"/>
                <w:bottom w:val="none" w:sz="0" w:space="0" w:color="auto"/>
                <w:right w:val="none" w:sz="0" w:space="0" w:color="auto"/>
              </w:divBdr>
              <w:divsChild>
                <w:div w:id="690565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573725">
      <w:bodyDiv w:val="1"/>
      <w:marLeft w:val="0"/>
      <w:marRight w:val="0"/>
      <w:marTop w:val="0"/>
      <w:marBottom w:val="0"/>
      <w:divBdr>
        <w:top w:val="none" w:sz="0" w:space="0" w:color="auto"/>
        <w:left w:val="none" w:sz="0" w:space="0" w:color="auto"/>
        <w:bottom w:val="none" w:sz="0" w:space="0" w:color="auto"/>
        <w:right w:val="none" w:sz="0" w:space="0" w:color="auto"/>
      </w:divBdr>
    </w:div>
    <w:div w:id="1332299640">
      <w:bodyDiv w:val="1"/>
      <w:marLeft w:val="0"/>
      <w:marRight w:val="0"/>
      <w:marTop w:val="0"/>
      <w:marBottom w:val="0"/>
      <w:divBdr>
        <w:top w:val="none" w:sz="0" w:space="0" w:color="auto"/>
        <w:left w:val="none" w:sz="0" w:space="0" w:color="auto"/>
        <w:bottom w:val="none" w:sz="0" w:space="0" w:color="auto"/>
        <w:right w:val="none" w:sz="0" w:space="0" w:color="auto"/>
      </w:divBdr>
    </w:div>
    <w:div w:id="1368523403">
      <w:bodyDiv w:val="1"/>
      <w:marLeft w:val="0"/>
      <w:marRight w:val="0"/>
      <w:marTop w:val="0"/>
      <w:marBottom w:val="0"/>
      <w:divBdr>
        <w:top w:val="none" w:sz="0" w:space="0" w:color="auto"/>
        <w:left w:val="none" w:sz="0" w:space="0" w:color="auto"/>
        <w:bottom w:val="none" w:sz="0" w:space="0" w:color="auto"/>
        <w:right w:val="none" w:sz="0" w:space="0" w:color="auto"/>
      </w:divBdr>
      <w:divsChild>
        <w:div w:id="740325894">
          <w:marLeft w:val="0"/>
          <w:marRight w:val="0"/>
          <w:marTop w:val="0"/>
          <w:marBottom w:val="0"/>
          <w:divBdr>
            <w:top w:val="none" w:sz="0" w:space="0" w:color="auto"/>
            <w:left w:val="none" w:sz="0" w:space="0" w:color="auto"/>
            <w:bottom w:val="none" w:sz="0" w:space="0" w:color="auto"/>
            <w:right w:val="none" w:sz="0" w:space="0" w:color="auto"/>
          </w:divBdr>
          <w:divsChild>
            <w:div w:id="1217164334">
              <w:marLeft w:val="0"/>
              <w:marRight w:val="0"/>
              <w:marTop w:val="0"/>
              <w:marBottom w:val="0"/>
              <w:divBdr>
                <w:top w:val="none" w:sz="0" w:space="0" w:color="auto"/>
                <w:left w:val="none" w:sz="0" w:space="0" w:color="auto"/>
                <w:bottom w:val="none" w:sz="0" w:space="0" w:color="auto"/>
                <w:right w:val="none" w:sz="0" w:space="0" w:color="auto"/>
              </w:divBdr>
              <w:divsChild>
                <w:div w:id="1873758502">
                  <w:marLeft w:val="0"/>
                  <w:marRight w:val="0"/>
                  <w:marTop w:val="0"/>
                  <w:marBottom w:val="0"/>
                  <w:divBdr>
                    <w:top w:val="none" w:sz="0" w:space="0" w:color="auto"/>
                    <w:left w:val="none" w:sz="0" w:space="0" w:color="auto"/>
                    <w:bottom w:val="none" w:sz="0" w:space="0" w:color="auto"/>
                    <w:right w:val="none" w:sz="0" w:space="0" w:color="auto"/>
                  </w:divBdr>
                  <w:divsChild>
                    <w:div w:id="29263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933592">
      <w:bodyDiv w:val="1"/>
      <w:marLeft w:val="0"/>
      <w:marRight w:val="0"/>
      <w:marTop w:val="0"/>
      <w:marBottom w:val="0"/>
      <w:divBdr>
        <w:top w:val="none" w:sz="0" w:space="0" w:color="auto"/>
        <w:left w:val="none" w:sz="0" w:space="0" w:color="auto"/>
        <w:bottom w:val="none" w:sz="0" w:space="0" w:color="auto"/>
        <w:right w:val="none" w:sz="0" w:space="0" w:color="auto"/>
      </w:divBdr>
      <w:divsChild>
        <w:div w:id="697121535">
          <w:marLeft w:val="0"/>
          <w:marRight w:val="0"/>
          <w:marTop w:val="0"/>
          <w:marBottom w:val="0"/>
          <w:divBdr>
            <w:top w:val="none" w:sz="0" w:space="0" w:color="auto"/>
            <w:left w:val="none" w:sz="0" w:space="0" w:color="auto"/>
            <w:bottom w:val="none" w:sz="0" w:space="0" w:color="auto"/>
            <w:right w:val="none" w:sz="0" w:space="0" w:color="auto"/>
          </w:divBdr>
          <w:divsChild>
            <w:div w:id="133986303">
              <w:marLeft w:val="0"/>
              <w:marRight w:val="0"/>
              <w:marTop w:val="0"/>
              <w:marBottom w:val="0"/>
              <w:divBdr>
                <w:top w:val="none" w:sz="0" w:space="0" w:color="auto"/>
                <w:left w:val="none" w:sz="0" w:space="0" w:color="auto"/>
                <w:bottom w:val="none" w:sz="0" w:space="0" w:color="auto"/>
                <w:right w:val="none" w:sz="0" w:space="0" w:color="auto"/>
              </w:divBdr>
              <w:divsChild>
                <w:div w:id="207358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203997">
      <w:bodyDiv w:val="1"/>
      <w:marLeft w:val="0"/>
      <w:marRight w:val="0"/>
      <w:marTop w:val="0"/>
      <w:marBottom w:val="0"/>
      <w:divBdr>
        <w:top w:val="none" w:sz="0" w:space="0" w:color="auto"/>
        <w:left w:val="none" w:sz="0" w:space="0" w:color="auto"/>
        <w:bottom w:val="none" w:sz="0" w:space="0" w:color="auto"/>
        <w:right w:val="none" w:sz="0" w:space="0" w:color="auto"/>
      </w:divBdr>
      <w:divsChild>
        <w:div w:id="1951812966">
          <w:marLeft w:val="0"/>
          <w:marRight w:val="0"/>
          <w:marTop w:val="0"/>
          <w:marBottom w:val="0"/>
          <w:divBdr>
            <w:top w:val="none" w:sz="0" w:space="0" w:color="auto"/>
            <w:left w:val="none" w:sz="0" w:space="0" w:color="auto"/>
            <w:bottom w:val="none" w:sz="0" w:space="0" w:color="auto"/>
            <w:right w:val="none" w:sz="0" w:space="0" w:color="auto"/>
          </w:divBdr>
          <w:divsChild>
            <w:div w:id="1228880573">
              <w:marLeft w:val="0"/>
              <w:marRight w:val="0"/>
              <w:marTop w:val="0"/>
              <w:marBottom w:val="0"/>
              <w:divBdr>
                <w:top w:val="none" w:sz="0" w:space="0" w:color="auto"/>
                <w:left w:val="none" w:sz="0" w:space="0" w:color="auto"/>
                <w:bottom w:val="none" w:sz="0" w:space="0" w:color="auto"/>
                <w:right w:val="none" w:sz="0" w:space="0" w:color="auto"/>
              </w:divBdr>
              <w:divsChild>
                <w:div w:id="92939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903401">
      <w:bodyDiv w:val="1"/>
      <w:marLeft w:val="0"/>
      <w:marRight w:val="0"/>
      <w:marTop w:val="0"/>
      <w:marBottom w:val="0"/>
      <w:divBdr>
        <w:top w:val="none" w:sz="0" w:space="0" w:color="auto"/>
        <w:left w:val="none" w:sz="0" w:space="0" w:color="auto"/>
        <w:bottom w:val="none" w:sz="0" w:space="0" w:color="auto"/>
        <w:right w:val="none" w:sz="0" w:space="0" w:color="auto"/>
      </w:divBdr>
    </w:div>
    <w:div w:id="1442333868">
      <w:bodyDiv w:val="1"/>
      <w:marLeft w:val="0"/>
      <w:marRight w:val="0"/>
      <w:marTop w:val="0"/>
      <w:marBottom w:val="0"/>
      <w:divBdr>
        <w:top w:val="none" w:sz="0" w:space="0" w:color="auto"/>
        <w:left w:val="none" w:sz="0" w:space="0" w:color="auto"/>
        <w:bottom w:val="none" w:sz="0" w:space="0" w:color="auto"/>
        <w:right w:val="none" w:sz="0" w:space="0" w:color="auto"/>
      </w:divBdr>
    </w:div>
    <w:div w:id="1445078531">
      <w:bodyDiv w:val="1"/>
      <w:marLeft w:val="0"/>
      <w:marRight w:val="0"/>
      <w:marTop w:val="0"/>
      <w:marBottom w:val="0"/>
      <w:divBdr>
        <w:top w:val="none" w:sz="0" w:space="0" w:color="auto"/>
        <w:left w:val="none" w:sz="0" w:space="0" w:color="auto"/>
        <w:bottom w:val="none" w:sz="0" w:space="0" w:color="auto"/>
        <w:right w:val="none" w:sz="0" w:space="0" w:color="auto"/>
      </w:divBdr>
    </w:div>
    <w:div w:id="1452626538">
      <w:bodyDiv w:val="1"/>
      <w:marLeft w:val="0"/>
      <w:marRight w:val="0"/>
      <w:marTop w:val="0"/>
      <w:marBottom w:val="0"/>
      <w:divBdr>
        <w:top w:val="none" w:sz="0" w:space="0" w:color="auto"/>
        <w:left w:val="none" w:sz="0" w:space="0" w:color="auto"/>
        <w:bottom w:val="none" w:sz="0" w:space="0" w:color="auto"/>
        <w:right w:val="none" w:sz="0" w:space="0" w:color="auto"/>
      </w:divBdr>
    </w:div>
    <w:div w:id="1453593304">
      <w:bodyDiv w:val="1"/>
      <w:marLeft w:val="0"/>
      <w:marRight w:val="0"/>
      <w:marTop w:val="0"/>
      <w:marBottom w:val="0"/>
      <w:divBdr>
        <w:top w:val="none" w:sz="0" w:space="0" w:color="auto"/>
        <w:left w:val="none" w:sz="0" w:space="0" w:color="auto"/>
        <w:bottom w:val="none" w:sz="0" w:space="0" w:color="auto"/>
        <w:right w:val="none" w:sz="0" w:space="0" w:color="auto"/>
      </w:divBdr>
    </w:div>
    <w:div w:id="1456292245">
      <w:bodyDiv w:val="1"/>
      <w:marLeft w:val="0"/>
      <w:marRight w:val="0"/>
      <w:marTop w:val="0"/>
      <w:marBottom w:val="0"/>
      <w:divBdr>
        <w:top w:val="none" w:sz="0" w:space="0" w:color="auto"/>
        <w:left w:val="none" w:sz="0" w:space="0" w:color="auto"/>
        <w:bottom w:val="none" w:sz="0" w:space="0" w:color="auto"/>
        <w:right w:val="none" w:sz="0" w:space="0" w:color="auto"/>
      </w:divBdr>
      <w:divsChild>
        <w:div w:id="296447740">
          <w:marLeft w:val="0"/>
          <w:marRight w:val="0"/>
          <w:marTop w:val="0"/>
          <w:marBottom w:val="0"/>
          <w:divBdr>
            <w:top w:val="none" w:sz="0" w:space="0" w:color="auto"/>
            <w:left w:val="none" w:sz="0" w:space="0" w:color="auto"/>
            <w:bottom w:val="none" w:sz="0" w:space="0" w:color="auto"/>
            <w:right w:val="none" w:sz="0" w:space="0" w:color="auto"/>
          </w:divBdr>
          <w:divsChild>
            <w:div w:id="1888175559">
              <w:marLeft w:val="0"/>
              <w:marRight w:val="0"/>
              <w:marTop w:val="0"/>
              <w:marBottom w:val="0"/>
              <w:divBdr>
                <w:top w:val="none" w:sz="0" w:space="0" w:color="auto"/>
                <w:left w:val="none" w:sz="0" w:space="0" w:color="auto"/>
                <w:bottom w:val="none" w:sz="0" w:space="0" w:color="auto"/>
                <w:right w:val="none" w:sz="0" w:space="0" w:color="auto"/>
              </w:divBdr>
              <w:divsChild>
                <w:div w:id="1987472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038164">
      <w:bodyDiv w:val="1"/>
      <w:marLeft w:val="0"/>
      <w:marRight w:val="0"/>
      <w:marTop w:val="0"/>
      <w:marBottom w:val="0"/>
      <w:divBdr>
        <w:top w:val="none" w:sz="0" w:space="0" w:color="auto"/>
        <w:left w:val="none" w:sz="0" w:space="0" w:color="auto"/>
        <w:bottom w:val="none" w:sz="0" w:space="0" w:color="auto"/>
        <w:right w:val="none" w:sz="0" w:space="0" w:color="auto"/>
      </w:divBdr>
    </w:div>
    <w:div w:id="1473058463">
      <w:bodyDiv w:val="1"/>
      <w:marLeft w:val="0"/>
      <w:marRight w:val="0"/>
      <w:marTop w:val="0"/>
      <w:marBottom w:val="0"/>
      <w:divBdr>
        <w:top w:val="none" w:sz="0" w:space="0" w:color="auto"/>
        <w:left w:val="none" w:sz="0" w:space="0" w:color="auto"/>
        <w:bottom w:val="none" w:sz="0" w:space="0" w:color="auto"/>
        <w:right w:val="none" w:sz="0" w:space="0" w:color="auto"/>
      </w:divBdr>
    </w:div>
    <w:div w:id="1483110053">
      <w:bodyDiv w:val="1"/>
      <w:marLeft w:val="0"/>
      <w:marRight w:val="0"/>
      <w:marTop w:val="0"/>
      <w:marBottom w:val="0"/>
      <w:divBdr>
        <w:top w:val="none" w:sz="0" w:space="0" w:color="auto"/>
        <w:left w:val="none" w:sz="0" w:space="0" w:color="auto"/>
        <w:bottom w:val="none" w:sz="0" w:space="0" w:color="auto"/>
        <w:right w:val="none" w:sz="0" w:space="0" w:color="auto"/>
      </w:divBdr>
      <w:divsChild>
        <w:div w:id="1767191628">
          <w:marLeft w:val="480"/>
          <w:marRight w:val="0"/>
          <w:marTop w:val="0"/>
          <w:marBottom w:val="0"/>
          <w:divBdr>
            <w:top w:val="none" w:sz="0" w:space="0" w:color="auto"/>
            <w:left w:val="none" w:sz="0" w:space="0" w:color="auto"/>
            <w:bottom w:val="none" w:sz="0" w:space="0" w:color="auto"/>
            <w:right w:val="none" w:sz="0" w:space="0" w:color="auto"/>
          </w:divBdr>
          <w:divsChild>
            <w:div w:id="68806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840485">
      <w:bodyDiv w:val="1"/>
      <w:marLeft w:val="0"/>
      <w:marRight w:val="0"/>
      <w:marTop w:val="0"/>
      <w:marBottom w:val="0"/>
      <w:divBdr>
        <w:top w:val="none" w:sz="0" w:space="0" w:color="auto"/>
        <w:left w:val="none" w:sz="0" w:space="0" w:color="auto"/>
        <w:bottom w:val="none" w:sz="0" w:space="0" w:color="auto"/>
        <w:right w:val="none" w:sz="0" w:space="0" w:color="auto"/>
      </w:divBdr>
      <w:divsChild>
        <w:div w:id="382994972">
          <w:marLeft w:val="0"/>
          <w:marRight w:val="0"/>
          <w:marTop w:val="0"/>
          <w:marBottom w:val="0"/>
          <w:divBdr>
            <w:top w:val="none" w:sz="0" w:space="0" w:color="auto"/>
            <w:left w:val="none" w:sz="0" w:space="0" w:color="auto"/>
            <w:bottom w:val="none" w:sz="0" w:space="0" w:color="auto"/>
            <w:right w:val="none" w:sz="0" w:space="0" w:color="auto"/>
          </w:divBdr>
          <w:divsChild>
            <w:div w:id="102960907">
              <w:marLeft w:val="0"/>
              <w:marRight w:val="0"/>
              <w:marTop w:val="0"/>
              <w:marBottom w:val="0"/>
              <w:divBdr>
                <w:top w:val="none" w:sz="0" w:space="0" w:color="auto"/>
                <w:left w:val="none" w:sz="0" w:space="0" w:color="auto"/>
                <w:bottom w:val="none" w:sz="0" w:space="0" w:color="auto"/>
                <w:right w:val="none" w:sz="0" w:space="0" w:color="auto"/>
              </w:divBdr>
              <w:divsChild>
                <w:div w:id="10697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992983">
      <w:bodyDiv w:val="1"/>
      <w:marLeft w:val="0"/>
      <w:marRight w:val="0"/>
      <w:marTop w:val="0"/>
      <w:marBottom w:val="0"/>
      <w:divBdr>
        <w:top w:val="none" w:sz="0" w:space="0" w:color="auto"/>
        <w:left w:val="none" w:sz="0" w:space="0" w:color="auto"/>
        <w:bottom w:val="none" w:sz="0" w:space="0" w:color="auto"/>
        <w:right w:val="none" w:sz="0" w:space="0" w:color="auto"/>
      </w:divBdr>
    </w:div>
    <w:div w:id="1518421376">
      <w:bodyDiv w:val="1"/>
      <w:marLeft w:val="0"/>
      <w:marRight w:val="0"/>
      <w:marTop w:val="0"/>
      <w:marBottom w:val="0"/>
      <w:divBdr>
        <w:top w:val="none" w:sz="0" w:space="0" w:color="auto"/>
        <w:left w:val="none" w:sz="0" w:space="0" w:color="auto"/>
        <w:bottom w:val="none" w:sz="0" w:space="0" w:color="auto"/>
        <w:right w:val="none" w:sz="0" w:space="0" w:color="auto"/>
      </w:divBdr>
      <w:divsChild>
        <w:div w:id="964195370">
          <w:marLeft w:val="0"/>
          <w:marRight w:val="0"/>
          <w:marTop w:val="0"/>
          <w:marBottom w:val="0"/>
          <w:divBdr>
            <w:top w:val="none" w:sz="0" w:space="0" w:color="auto"/>
            <w:left w:val="none" w:sz="0" w:space="0" w:color="auto"/>
            <w:bottom w:val="none" w:sz="0" w:space="0" w:color="auto"/>
            <w:right w:val="none" w:sz="0" w:space="0" w:color="auto"/>
          </w:divBdr>
        </w:div>
        <w:div w:id="350643571">
          <w:marLeft w:val="0"/>
          <w:marRight w:val="0"/>
          <w:marTop w:val="0"/>
          <w:marBottom w:val="0"/>
          <w:divBdr>
            <w:top w:val="none" w:sz="0" w:space="0" w:color="auto"/>
            <w:left w:val="none" w:sz="0" w:space="0" w:color="auto"/>
            <w:bottom w:val="none" w:sz="0" w:space="0" w:color="auto"/>
            <w:right w:val="none" w:sz="0" w:space="0" w:color="auto"/>
          </w:divBdr>
        </w:div>
        <w:div w:id="386996985">
          <w:marLeft w:val="0"/>
          <w:marRight w:val="0"/>
          <w:marTop w:val="0"/>
          <w:marBottom w:val="0"/>
          <w:divBdr>
            <w:top w:val="none" w:sz="0" w:space="0" w:color="auto"/>
            <w:left w:val="none" w:sz="0" w:space="0" w:color="auto"/>
            <w:bottom w:val="none" w:sz="0" w:space="0" w:color="auto"/>
            <w:right w:val="none" w:sz="0" w:space="0" w:color="auto"/>
          </w:divBdr>
        </w:div>
        <w:div w:id="1257791825">
          <w:marLeft w:val="0"/>
          <w:marRight w:val="0"/>
          <w:marTop w:val="0"/>
          <w:marBottom w:val="0"/>
          <w:divBdr>
            <w:top w:val="none" w:sz="0" w:space="0" w:color="auto"/>
            <w:left w:val="none" w:sz="0" w:space="0" w:color="auto"/>
            <w:bottom w:val="none" w:sz="0" w:space="0" w:color="auto"/>
            <w:right w:val="none" w:sz="0" w:space="0" w:color="auto"/>
          </w:divBdr>
        </w:div>
        <w:div w:id="210114598">
          <w:marLeft w:val="0"/>
          <w:marRight w:val="0"/>
          <w:marTop w:val="0"/>
          <w:marBottom w:val="0"/>
          <w:divBdr>
            <w:top w:val="none" w:sz="0" w:space="0" w:color="auto"/>
            <w:left w:val="none" w:sz="0" w:space="0" w:color="auto"/>
            <w:bottom w:val="none" w:sz="0" w:space="0" w:color="auto"/>
            <w:right w:val="none" w:sz="0" w:space="0" w:color="auto"/>
          </w:divBdr>
        </w:div>
        <w:div w:id="1865707151">
          <w:marLeft w:val="0"/>
          <w:marRight w:val="0"/>
          <w:marTop w:val="0"/>
          <w:marBottom w:val="0"/>
          <w:divBdr>
            <w:top w:val="none" w:sz="0" w:space="0" w:color="auto"/>
            <w:left w:val="none" w:sz="0" w:space="0" w:color="auto"/>
            <w:bottom w:val="none" w:sz="0" w:space="0" w:color="auto"/>
            <w:right w:val="none" w:sz="0" w:space="0" w:color="auto"/>
          </w:divBdr>
        </w:div>
        <w:div w:id="477189094">
          <w:marLeft w:val="0"/>
          <w:marRight w:val="0"/>
          <w:marTop w:val="0"/>
          <w:marBottom w:val="0"/>
          <w:divBdr>
            <w:top w:val="none" w:sz="0" w:space="0" w:color="auto"/>
            <w:left w:val="none" w:sz="0" w:space="0" w:color="auto"/>
            <w:bottom w:val="none" w:sz="0" w:space="0" w:color="auto"/>
            <w:right w:val="none" w:sz="0" w:space="0" w:color="auto"/>
          </w:divBdr>
        </w:div>
        <w:div w:id="1253322269">
          <w:marLeft w:val="0"/>
          <w:marRight w:val="0"/>
          <w:marTop w:val="0"/>
          <w:marBottom w:val="0"/>
          <w:divBdr>
            <w:top w:val="none" w:sz="0" w:space="0" w:color="auto"/>
            <w:left w:val="none" w:sz="0" w:space="0" w:color="auto"/>
            <w:bottom w:val="none" w:sz="0" w:space="0" w:color="auto"/>
            <w:right w:val="none" w:sz="0" w:space="0" w:color="auto"/>
          </w:divBdr>
        </w:div>
        <w:div w:id="409159127">
          <w:marLeft w:val="0"/>
          <w:marRight w:val="0"/>
          <w:marTop w:val="0"/>
          <w:marBottom w:val="0"/>
          <w:divBdr>
            <w:top w:val="none" w:sz="0" w:space="0" w:color="auto"/>
            <w:left w:val="none" w:sz="0" w:space="0" w:color="auto"/>
            <w:bottom w:val="none" w:sz="0" w:space="0" w:color="auto"/>
            <w:right w:val="none" w:sz="0" w:space="0" w:color="auto"/>
          </w:divBdr>
        </w:div>
      </w:divsChild>
    </w:div>
    <w:div w:id="1518956844">
      <w:bodyDiv w:val="1"/>
      <w:marLeft w:val="0"/>
      <w:marRight w:val="0"/>
      <w:marTop w:val="0"/>
      <w:marBottom w:val="0"/>
      <w:divBdr>
        <w:top w:val="none" w:sz="0" w:space="0" w:color="auto"/>
        <w:left w:val="none" w:sz="0" w:space="0" w:color="auto"/>
        <w:bottom w:val="none" w:sz="0" w:space="0" w:color="auto"/>
        <w:right w:val="none" w:sz="0" w:space="0" w:color="auto"/>
      </w:divBdr>
    </w:div>
    <w:div w:id="1546913421">
      <w:bodyDiv w:val="1"/>
      <w:marLeft w:val="0"/>
      <w:marRight w:val="0"/>
      <w:marTop w:val="0"/>
      <w:marBottom w:val="0"/>
      <w:divBdr>
        <w:top w:val="none" w:sz="0" w:space="0" w:color="auto"/>
        <w:left w:val="none" w:sz="0" w:space="0" w:color="auto"/>
        <w:bottom w:val="none" w:sz="0" w:space="0" w:color="auto"/>
        <w:right w:val="none" w:sz="0" w:space="0" w:color="auto"/>
      </w:divBdr>
      <w:divsChild>
        <w:div w:id="1950434124">
          <w:marLeft w:val="0"/>
          <w:marRight w:val="0"/>
          <w:marTop w:val="0"/>
          <w:marBottom w:val="0"/>
          <w:divBdr>
            <w:top w:val="none" w:sz="0" w:space="0" w:color="auto"/>
            <w:left w:val="none" w:sz="0" w:space="0" w:color="auto"/>
            <w:bottom w:val="none" w:sz="0" w:space="0" w:color="auto"/>
            <w:right w:val="none" w:sz="0" w:space="0" w:color="auto"/>
          </w:divBdr>
          <w:divsChild>
            <w:div w:id="1044214655">
              <w:marLeft w:val="0"/>
              <w:marRight w:val="0"/>
              <w:marTop w:val="0"/>
              <w:marBottom w:val="0"/>
              <w:divBdr>
                <w:top w:val="none" w:sz="0" w:space="0" w:color="auto"/>
                <w:left w:val="none" w:sz="0" w:space="0" w:color="auto"/>
                <w:bottom w:val="none" w:sz="0" w:space="0" w:color="auto"/>
                <w:right w:val="none" w:sz="0" w:space="0" w:color="auto"/>
              </w:divBdr>
              <w:divsChild>
                <w:div w:id="639070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470278">
      <w:bodyDiv w:val="1"/>
      <w:marLeft w:val="0"/>
      <w:marRight w:val="0"/>
      <w:marTop w:val="0"/>
      <w:marBottom w:val="0"/>
      <w:divBdr>
        <w:top w:val="none" w:sz="0" w:space="0" w:color="auto"/>
        <w:left w:val="none" w:sz="0" w:space="0" w:color="auto"/>
        <w:bottom w:val="none" w:sz="0" w:space="0" w:color="auto"/>
        <w:right w:val="none" w:sz="0" w:space="0" w:color="auto"/>
      </w:divBdr>
      <w:divsChild>
        <w:div w:id="1364674567">
          <w:marLeft w:val="0"/>
          <w:marRight w:val="0"/>
          <w:marTop w:val="0"/>
          <w:marBottom w:val="0"/>
          <w:divBdr>
            <w:top w:val="none" w:sz="0" w:space="0" w:color="auto"/>
            <w:left w:val="none" w:sz="0" w:space="0" w:color="auto"/>
            <w:bottom w:val="none" w:sz="0" w:space="0" w:color="auto"/>
            <w:right w:val="none" w:sz="0" w:space="0" w:color="auto"/>
          </w:divBdr>
          <w:divsChild>
            <w:div w:id="97678046">
              <w:marLeft w:val="0"/>
              <w:marRight w:val="0"/>
              <w:marTop w:val="0"/>
              <w:marBottom w:val="0"/>
              <w:divBdr>
                <w:top w:val="none" w:sz="0" w:space="0" w:color="auto"/>
                <w:left w:val="none" w:sz="0" w:space="0" w:color="auto"/>
                <w:bottom w:val="none" w:sz="0" w:space="0" w:color="auto"/>
                <w:right w:val="none" w:sz="0" w:space="0" w:color="auto"/>
              </w:divBdr>
              <w:divsChild>
                <w:div w:id="189145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966281">
      <w:bodyDiv w:val="1"/>
      <w:marLeft w:val="0"/>
      <w:marRight w:val="0"/>
      <w:marTop w:val="0"/>
      <w:marBottom w:val="0"/>
      <w:divBdr>
        <w:top w:val="none" w:sz="0" w:space="0" w:color="auto"/>
        <w:left w:val="none" w:sz="0" w:space="0" w:color="auto"/>
        <w:bottom w:val="none" w:sz="0" w:space="0" w:color="auto"/>
        <w:right w:val="none" w:sz="0" w:space="0" w:color="auto"/>
      </w:divBdr>
      <w:divsChild>
        <w:div w:id="1064991111">
          <w:marLeft w:val="0"/>
          <w:marRight w:val="0"/>
          <w:marTop w:val="0"/>
          <w:marBottom w:val="0"/>
          <w:divBdr>
            <w:top w:val="none" w:sz="0" w:space="0" w:color="auto"/>
            <w:left w:val="none" w:sz="0" w:space="0" w:color="auto"/>
            <w:bottom w:val="none" w:sz="0" w:space="0" w:color="auto"/>
            <w:right w:val="none" w:sz="0" w:space="0" w:color="auto"/>
          </w:divBdr>
          <w:divsChild>
            <w:div w:id="15545069">
              <w:marLeft w:val="0"/>
              <w:marRight w:val="0"/>
              <w:marTop w:val="0"/>
              <w:marBottom w:val="0"/>
              <w:divBdr>
                <w:top w:val="none" w:sz="0" w:space="0" w:color="auto"/>
                <w:left w:val="none" w:sz="0" w:space="0" w:color="auto"/>
                <w:bottom w:val="none" w:sz="0" w:space="0" w:color="auto"/>
                <w:right w:val="none" w:sz="0" w:space="0" w:color="auto"/>
              </w:divBdr>
              <w:divsChild>
                <w:div w:id="169569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760097">
      <w:bodyDiv w:val="1"/>
      <w:marLeft w:val="0"/>
      <w:marRight w:val="0"/>
      <w:marTop w:val="0"/>
      <w:marBottom w:val="0"/>
      <w:divBdr>
        <w:top w:val="none" w:sz="0" w:space="0" w:color="auto"/>
        <w:left w:val="none" w:sz="0" w:space="0" w:color="auto"/>
        <w:bottom w:val="none" w:sz="0" w:space="0" w:color="auto"/>
        <w:right w:val="none" w:sz="0" w:space="0" w:color="auto"/>
      </w:divBdr>
      <w:divsChild>
        <w:div w:id="738097076">
          <w:marLeft w:val="480"/>
          <w:marRight w:val="0"/>
          <w:marTop w:val="0"/>
          <w:marBottom w:val="0"/>
          <w:divBdr>
            <w:top w:val="none" w:sz="0" w:space="0" w:color="auto"/>
            <w:left w:val="none" w:sz="0" w:space="0" w:color="auto"/>
            <w:bottom w:val="none" w:sz="0" w:space="0" w:color="auto"/>
            <w:right w:val="none" w:sz="0" w:space="0" w:color="auto"/>
          </w:divBdr>
          <w:divsChild>
            <w:div w:id="81560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301345">
      <w:bodyDiv w:val="1"/>
      <w:marLeft w:val="0"/>
      <w:marRight w:val="0"/>
      <w:marTop w:val="0"/>
      <w:marBottom w:val="0"/>
      <w:divBdr>
        <w:top w:val="none" w:sz="0" w:space="0" w:color="auto"/>
        <w:left w:val="none" w:sz="0" w:space="0" w:color="auto"/>
        <w:bottom w:val="none" w:sz="0" w:space="0" w:color="auto"/>
        <w:right w:val="none" w:sz="0" w:space="0" w:color="auto"/>
      </w:divBdr>
    </w:div>
    <w:div w:id="1625035751">
      <w:bodyDiv w:val="1"/>
      <w:marLeft w:val="0"/>
      <w:marRight w:val="0"/>
      <w:marTop w:val="0"/>
      <w:marBottom w:val="0"/>
      <w:divBdr>
        <w:top w:val="none" w:sz="0" w:space="0" w:color="auto"/>
        <w:left w:val="none" w:sz="0" w:space="0" w:color="auto"/>
        <w:bottom w:val="none" w:sz="0" w:space="0" w:color="auto"/>
        <w:right w:val="none" w:sz="0" w:space="0" w:color="auto"/>
      </w:divBdr>
    </w:div>
    <w:div w:id="1637711477">
      <w:bodyDiv w:val="1"/>
      <w:marLeft w:val="0"/>
      <w:marRight w:val="0"/>
      <w:marTop w:val="0"/>
      <w:marBottom w:val="0"/>
      <w:divBdr>
        <w:top w:val="none" w:sz="0" w:space="0" w:color="auto"/>
        <w:left w:val="none" w:sz="0" w:space="0" w:color="auto"/>
        <w:bottom w:val="none" w:sz="0" w:space="0" w:color="auto"/>
        <w:right w:val="none" w:sz="0" w:space="0" w:color="auto"/>
      </w:divBdr>
      <w:divsChild>
        <w:div w:id="1430849152">
          <w:marLeft w:val="0"/>
          <w:marRight w:val="0"/>
          <w:marTop w:val="0"/>
          <w:marBottom w:val="0"/>
          <w:divBdr>
            <w:top w:val="none" w:sz="0" w:space="0" w:color="auto"/>
            <w:left w:val="none" w:sz="0" w:space="0" w:color="auto"/>
            <w:bottom w:val="none" w:sz="0" w:space="0" w:color="auto"/>
            <w:right w:val="none" w:sz="0" w:space="0" w:color="auto"/>
          </w:divBdr>
          <w:divsChild>
            <w:div w:id="553126101">
              <w:marLeft w:val="0"/>
              <w:marRight w:val="0"/>
              <w:marTop w:val="0"/>
              <w:marBottom w:val="0"/>
              <w:divBdr>
                <w:top w:val="none" w:sz="0" w:space="0" w:color="auto"/>
                <w:left w:val="none" w:sz="0" w:space="0" w:color="auto"/>
                <w:bottom w:val="none" w:sz="0" w:space="0" w:color="auto"/>
                <w:right w:val="none" w:sz="0" w:space="0" w:color="auto"/>
              </w:divBdr>
              <w:divsChild>
                <w:div w:id="905991765">
                  <w:marLeft w:val="0"/>
                  <w:marRight w:val="0"/>
                  <w:marTop w:val="0"/>
                  <w:marBottom w:val="0"/>
                  <w:divBdr>
                    <w:top w:val="none" w:sz="0" w:space="0" w:color="auto"/>
                    <w:left w:val="none" w:sz="0" w:space="0" w:color="auto"/>
                    <w:bottom w:val="none" w:sz="0" w:space="0" w:color="auto"/>
                    <w:right w:val="none" w:sz="0" w:space="0" w:color="auto"/>
                  </w:divBdr>
                  <w:divsChild>
                    <w:div w:id="62411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675981">
      <w:bodyDiv w:val="1"/>
      <w:marLeft w:val="0"/>
      <w:marRight w:val="0"/>
      <w:marTop w:val="0"/>
      <w:marBottom w:val="0"/>
      <w:divBdr>
        <w:top w:val="none" w:sz="0" w:space="0" w:color="auto"/>
        <w:left w:val="none" w:sz="0" w:space="0" w:color="auto"/>
        <w:bottom w:val="none" w:sz="0" w:space="0" w:color="auto"/>
        <w:right w:val="none" w:sz="0" w:space="0" w:color="auto"/>
      </w:divBdr>
      <w:divsChild>
        <w:div w:id="976184907">
          <w:marLeft w:val="0"/>
          <w:marRight w:val="0"/>
          <w:marTop w:val="0"/>
          <w:marBottom w:val="0"/>
          <w:divBdr>
            <w:top w:val="none" w:sz="0" w:space="0" w:color="auto"/>
            <w:left w:val="none" w:sz="0" w:space="0" w:color="auto"/>
            <w:bottom w:val="none" w:sz="0" w:space="0" w:color="auto"/>
            <w:right w:val="none" w:sz="0" w:space="0" w:color="auto"/>
          </w:divBdr>
          <w:divsChild>
            <w:div w:id="184683949">
              <w:marLeft w:val="0"/>
              <w:marRight w:val="0"/>
              <w:marTop w:val="0"/>
              <w:marBottom w:val="0"/>
              <w:divBdr>
                <w:top w:val="none" w:sz="0" w:space="0" w:color="auto"/>
                <w:left w:val="none" w:sz="0" w:space="0" w:color="auto"/>
                <w:bottom w:val="none" w:sz="0" w:space="0" w:color="auto"/>
                <w:right w:val="none" w:sz="0" w:space="0" w:color="auto"/>
              </w:divBdr>
              <w:divsChild>
                <w:div w:id="160618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592452">
      <w:bodyDiv w:val="1"/>
      <w:marLeft w:val="0"/>
      <w:marRight w:val="0"/>
      <w:marTop w:val="0"/>
      <w:marBottom w:val="0"/>
      <w:divBdr>
        <w:top w:val="none" w:sz="0" w:space="0" w:color="auto"/>
        <w:left w:val="none" w:sz="0" w:space="0" w:color="auto"/>
        <w:bottom w:val="none" w:sz="0" w:space="0" w:color="auto"/>
        <w:right w:val="none" w:sz="0" w:space="0" w:color="auto"/>
      </w:divBdr>
    </w:div>
    <w:div w:id="1657607621">
      <w:bodyDiv w:val="1"/>
      <w:marLeft w:val="0"/>
      <w:marRight w:val="0"/>
      <w:marTop w:val="0"/>
      <w:marBottom w:val="0"/>
      <w:divBdr>
        <w:top w:val="none" w:sz="0" w:space="0" w:color="auto"/>
        <w:left w:val="none" w:sz="0" w:space="0" w:color="auto"/>
        <w:bottom w:val="none" w:sz="0" w:space="0" w:color="auto"/>
        <w:right w:val="none" w:sz="0" w:space="0" w:color="auto"/>
      </w:divBdr>
    </w:div>
    <w:div w:id="1671251134">
      <w:bodyDiv w:val="1"/>
      <w:marLeft w:val="0"/>
      <w:marRight w:val="0"/>
      <w:marTop w:val="0"/>
      <w:marBottom w:val="0"/>
      <w:divBdr>
        <w:top w:val="none" w:sz="0" w:space="0" w:color="auto"/>
        <w:left w:val="none" w:sz="0" w:space="0" w:color="auto"/>
        <w:bottom w:val="none" w:sz="0" w:space="0" w:color="auto"/>
        <w:right w:val="none" w:sz="0" w:space="0" w:color="auto"/>
      </w:divBdr>
    </w:div>
    <w:div w:id="1679693517">
      <w:bodyDiv w:val="1"/>
      <w:marLeft w:val="0"/>
      <w:marRight w:val="0"/>
      <w:marTop w:val="0"/>
      <w:marBottom w:val="0"/>
      <w:divBdr>
        <w:top w:val="none" w:sz="0" w:space="0" w:color="auto"/>
        <w:left w:val="none" w:sz="0" w:space="0" w:color="auto"/>
        <w:bottom w:val="none" w:sz="0" w:space="0" w:color="auto"/>
        <w:right w:val="none" w:sz="0" w:space="0" w:color="auto"/>
      </w:divBdr>
    </w:div>
    <w:div w:id="1682506765">
      <w:bodyDiv w:val="1"/>
      <w:marLeft w:val="0"/>
      <w:marRight w:val="0"/>
      <w:marTop w:val="0"/>
      <w:marBottom w:val="0"/>
      <w:divBdr>
        <w:top w:val="none" w:sz="0" w:space="0" w:color="auto"/>
        <w:left w:val="none" w:sz="0" w:space="0" w:color="auto"/>
        <w:bottom w:val="none" w:sz="0" w:space="0" w:color="auto"/>
        <w:right w:val="none" w:sz="0" w:space="0" w:color="auto"/>
      </w:divBdr>
      <w:divsChild>
        <w:div w:id="1836996863">
          <w:marLeft w:val="0"/>
          <w:marRight w:val="0"/>
          <w:marTop w:val="0"/>
          <w:marBottom w:val="0"/>
          <w:divBdr>
            <w:top w:val="none" w:sz="0" w:space="0" w:color="auto"/>
            <w:left w:val="none" w:sz="0" w:space="0" w:color="auto"/>
            <w:bottom w:val="none" w:sz="0" w:space="0" w:color="auto"/>
            <w:right w:val="none" w:sz="0" w:space="0" w:color="auto"/>
          </w:divBdr>
          <w:divsChild>
            <w:div w:id="1775635923">
              <w:marLeft w:val="0"/>
              <w:marRight w:val="0"/>
              <w:marTop w:val="0"/>
              <w:marBottom w:val="0"/>
              <w:divBdr>
                <w:top w:val="none" w:sz="0" w:space="0" w:color="auto"/>
                <w:left w:val="none" w:sz="0" w:space="0" w:color="auto"/>
                <w:bottom w:val="none" w:sz="0" w:space="0" w:color="auto"/>
                <w:right w:val="none" w:sz="0" w:space="0" w:color="auto"/>
              </w:divBdr>
              <w:divsChild>
                <w:div w:id="112658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352722">
      <w:bodyDiv w:val="1"/>
      <w:marLeft w:val="0"/>
      <w:marRight w:val="0"/>
      <w:marTop w:val="0"/>
      <w:marBottom w:val="0"/>
      <w:divBdr>
        <w:top w:val="none" w:sz="0" w:space="0" w:color="auto"/>
        <w:left w:val="none" w:sz="0" w:space="0" w:color="auto"/>
        <w:bottom w:val="none" w:sz="0" w:space="0" w:color="auto"/>
        <w:right w:val="none" w:sz="0" w:space="0" w:color="auto"/>
      </w:divBdr>
    </w:div>
    <w:div w:id="1737169613">
      <w:bodyDiv w:val="1"/>
      <w:marLeft w:val="0"/>
      <w:marRight w:val="0"/>
      <w:marTop w:val="0"/>
      <w:marBottom w:val="0"/>
      <w:divBdr>
        <w:top w:val="none" w:sz="0" w:space="0" w:color="auto"/>
        <w:left w:val="none" w:sz="0" w:space="0" w:color="auto"/>
        <w:bottom w:val="none" w:sz="0" w:space="0" w:color="auto"/>
        <w:right w:val="none" w:sz="0" w:space="0" w:color="auto"/>
      </w:divBdr>
    </w:div>
    <w:div w:id="1747847468">
      <w:bodyDiv w:val="1"/>
      <w:marLeft w:val="0"/>
      <w:marRight w:val="0"/>
      <w:marTop w:val="0"/>
      <w:marBottom w:val="0"/>
      <w:divBdr>
        <w:top w:val="none" w:sz="0" w:space="0" w:color="auto"/>
        <w:left w:val="none" w:sz="0" w:space="0" w:color="auto"/>
        <w:bottom w:val="none" w:sz="0" w:space="0" w:color="auto"/>
        <w:right w:val="none" w:sz="0" w:space="0" w:color="auto"/>
      </w:divBdr>
    </w:div>
    <w:div w:id="1748067955">
      <w:bodyDiv w:val="1"/>
      <w:marLeft w:val="0"/>
      <w:marRight w:val="0"/>
      <w:marTop w:val="0"/>
      <w:marBottom w:val="0"/>
      <w:divBdr>
        <w:top w:val="none" w:sz="0" w:space="0" w:color="auto"/>
        <w:left w:val="none" w:sz="0" w:space="0" w:color="auto"/>
        <w:bottom w:val="none" w:sz="0" w:space="0" w:color="auto"/>
        <w:right w:val="none" w:sz="0" w:space="0" w:color="auto"/>
      </w:divBdr>
      <w:divsChild>
        <w:div w:id="1369918438">
          <w:marLeft w:val="0"/>
          <w:marRight w:val="0"/>
          <w:marTop w:val="0"/>
          <w:marBottom w:val="0"/>
          <w:divBdr>
            <w:top w:val="none" w:sz="0" w:space="0" w:color="auto"/>
            <w:left w:val="none" w:sz="0" w:space="0" w:color="auto"/>
            <w:bottom w:val="none" w:sz="0" w:space="0" w:color="auto"/>
            <w:right w:val="none" w:sz="0" w:space="0" w:color="auto"/>
          </w:divBdr>
        </w:div>
        <w:div w:id="1728265148">
          <w:marLeft w:val="0"/>
          <w:marRight w:val="0"/>
          <w:marTop w:val="0"/>
          <w:marBottom w:val="0"/>
          <w:divBdr>
            <w:top w:val="none" w:sz="0" w:space="0" w:color="auto"/>
            <w:left w:val="none" w:sz="0" w:space="0" w:color="auto"/>
            <w:bottom w:val="none" w:sz="0" w:space="0" w:color="auto"/>
            <w:right w:val="none" w:sz="0" w:space="0" w:color="auto"/>
          </w:divBdr>
        </w:div>
        <w:div w:id="855391536">
          <w:marLeft w:val="0"/>
          <w:marRight w:val="0"/>
          <w:marTop w:val="0"/>
          <w:marBottom w:val="0"/>
          <w:divBdr>
            <w:top w:val="none" w:sz="0" w:space="0" w:color="auto"/>
            <w:left w:val="none" w:sz="0" w:space="0" w:color="auto"/>
            <w:bottom w:val="none" w:sz="0" w:space="0" w:color="auto"/>
            <w:right w:val="none" w:sz="0" w:space="0" w:color="auto"/>
          </w:divBdr>
        </w:div>
        <w:div w:id="1860922672">
          <w:marLeft w:val="0"/>
          <w:marRight w:val="0"/>
          <w:marTop w:val="0"/>
          <w:marBottom w:val="0"/>
          <w:divBdr>
            <w:top w:val="none" w:sz="0" w:space="0" w:color="auto"/>
            <w:left w:val="none" w:sz="0" w:space="0" w:color="auto"/>
            <w:bottom w:val="none" w:sz="0" w:space="0" w:color="auto"/>
            <w:right w:val="none" w:sz="0" w:space="0" w:color="auto"/>
          </w:divBdr>
        </w:div>
        <w:div w:id="1916822297">
          <w:marLeft w:val="0"/>
          <w:marRight w:val="0"/>
          <w:marTop w:val="0"/>
          <w:marBottom w:val="0"/>
          <w:divBdr>
            <w:top w:val="none" w:sz="0" w:space="0" w:color="auto"/>
            <w:left w:val="none" w:sz="0" w:space="0" w:color="auto"/>
            <w:bottom w:val="none" w:sz="0" w:space="0" w:color="auto"/>
            <w:right w:val="none" w:sz="0" w:space="0" w:color="auto"/>
          </w:divBdr>
        </w:div>
      </w:divsChild>
    </w:div>
    <w:div w:id="1750614724">
      <w:bodyDiv w:val="1"/>
      <w:marLeft w:val="0"/>
      <w:marRight w:val="0"/>
      <w:marTop w:val="0"/>
      <w:marBottom w:val="0"/>
      <w:divBdr>
        <w:top w:val="none" w:sz="0" w:space="0" w:color="auto"/>
        <w:left w:val="none" w:sz="0" w:space="0" w:color="auto"/>
        <w:bottom w:val="none" w:sz="0" w:space="0" w:color="auto"/>
        <w:right w:val="none" w:sz="0" w:space="0" w:color="auto"/>
      </w:divBdr>
    </w:div>
    <w:div w:id="1759402580">
      <w:bodyDiv w:val="1"/>
      <w:marLeft w:val="0"/>
      <w:marRight w:val="0"/>
      <w:marTop w:val="0"/>
      <w:marBottom w:val="0"/>
      <w:divBdr>
        <w:top w:val="none" w:sz="0" w:space="0" w:color="auto"/>
        <w:left w:val="none" w:sz="0" w:space="0" w:color="auto"/>
        <w:bottom w:val="none" w:sz="0" w:space="0" w:color="auto"/>
        <w:right w:val="none" w:sz="0" w:space="0" w:color="auto"/>
      </w:divBdr>
    </w:div>
    <w:div w:id="1775050357">
      <w:bodyDiv w:val="1"/>
      <w:marLeft w:val="0"/>
      <w:marRight w:val="0"/>
      <w:marTop w:val="0"/>
      <w:marBottom w:val="0"/>
      <w:divBdr>
        <w:top w:val="none" w:sz="0" w:space="0" w:color="auto"/>
        <w:left w:val="none" w:sz="0" w:space="0" w:color="auto"/>
        <w:bottom w:val="none" w:sz="0" w:space="0" w:color="auto"/>
        <w:right w:val="none" w:sz="0" w:space="0" w:color="auto"/>
      </w:divBdr>
      <w:divsChild>
        <w:div w:id="1405764565">
          <w:marLeft w:val="0"/>
          <w:marRight w:val="0"/>
          <w:marTop w:val="0"/>
          <w:marBottom w:val="0"/>
          <w:divBdr>
            <w:top w:val="none" w:sz="0" w:space="0" w:color="auto"/>
            <w:left w:val="none" w:sz="0" w:space="0" w:color="auto"/>
            <w:bottom w:val="none" w:sz="0" w:space="0" w:color="auto"/>
            <w:right w:val="none" w:sz="0" w:space="0" w:color="auto"/>
          </w:divBdr>
        </w:div>
        <w:div w:id="1747724217">
          <w:marLeft w:val="0"/>
          <w:marRight w:val="0"/>
          <w:marTop w:val="0"/>
          <w:marBottom w:val="0"/>
          <w:divBdr>
            <w:top w:val="none" w:sz="0" w:space="0" w:color="auto"/>
            <w:left w:val="none" w:sz="0" w:space="0" w:color="auto"/>
            <w:bottom w:val="none" w:sz="0" w:space="0" w:color="auto"/>
            <w:right w:val="none" w:sz="0" w:space="0" w:color="auto"/>
          </w:divBdr>
        </w:div>
        <w:div w:id="1887402532">
          <w:marLeft w:val="0"/>
          <w:marRight w:val="0"/>
          <w:marTop w:val="0"/>
          <w:marBottom w:val="0"/>
          <w:divBdr>
            <w:top w:val="none" w:sz="0" w:space="0" w:color="auto"/>
            <w:left w:val="none" w:sz="0" w:space="0" w:color="auto"/>
            <w:bottom w:val="none" w:sz="0" w:space="0" w:color="auto"/>
            <w:right w:val="none" w:sz="0" w:space="0" w:color="auto"/>
          </w:divBdr>
        </w:div>
        <w:div w:id="1793942568">
          <w:marLeft w:val="0"/>
          <w:marRight w:val="0"/>
          <w:marTop w:val="0"/>
          <w:marBottom w:val="0"/>
          <w:divBdr>
            <w:top w:val="none" w:sz="0" w:space="0" w:color="auto"/>
            <w:left w:val="none" w:sz="0" w:space="0" w:color="auto"/>
            <w:bottom w:val="none" w:sz="0" w:space="0" w:color="auto"/>
            <w:right w:val="none" w:sz="0" w:space="0" w:color="auto"/>
          </w:divBdr>
        </w:div>
        <w:div w:id="1825660824">
          <w:marLeft w:val="0"/>
          <w:marRight w:val="0"/>
          <w:marTop w:val="0"/>
          <w:marBottom w:val="0"/>
          <w:divBdr>
            <w:top w:val="none" w:sz="0" w:space="0" w:color="auto"/>
            <w:left w:val="none" w:sz="0" w:space="0" w:color="auto"/>
            <w:bottom w:val="none" w:sz="0" w:space="0" w:color="auto"/>
            <w:right w:val="none" w:sz="0" w:space="0" w:color="auto"/>
          </w:divBdr>
        </w:div>
        <w:div w:id="1988974446">
          <w:marLeft w:val="0"/>
          <w:marRight w:val="0"/>
          <w:marTop w:val="0"/>
          <w:marBottom w:val="0"/>
          <w:divBdr>
            <w:top w:val="none" w:sz="0" w:space="0" w:color="auto"/>
            <w:left w:val="none" w:sz="0" w:space="0" w:color="auto"/>
            <w:bottom w:val="none" w:sz="0" w:space="0" w:color="auto"/>
            <w:right w:val="none" w:sz="0" w:space="0" w:color="auto"/>
          </w:divBdr>
        </w:div>
        <w:div w:id="1198196137">
          <w:marLeft w:val="0"/>
          <w:marRight w:val="0"/>
          <w:marTop w:val="0"/>
          <w:marBottom w:val="0"/>
          <w:divBdr>
            <w:top w:val="none" w:sz="0" w:space="0" w:color="auto"/>
            <w:left w:val="none" w:sz="0" w:space="0" w:color="auto"/>
            <w:bottom w:val="none" w:sz="0" w:space="0" w:color="auto"/>
            <w:right w:val="none" w:sz="0" w:space="0" w:color="auto"/>
          </w:divBdr>
        </w:div>
        <w:div w:id="508103897">
          <w:marLeft w:val="0"/>
          <w:marRight w:val="0"/>
          <w:marTop w:val="0"/>
          <w:marBottom w:val="0"/>
          <w:divBdr>
            <w:top w:val="none" w:sz="0" w:space="0" w:color="auto"/>
            <w:left w:val="none" w:sz="0" w:space="0" w:color="auto"/>
            <w:bottom w:val="none" w:sz="0" w:space="0" w:color="auto"/>
            <w:right w:val="none" w:sz="0" w:space="0" w:color="auto"/>
          </w:divBdr>
        </w:div>
        <w:div w:id="1505584431">
          <w:marLeft w:val="0"/>
          <w:marRight w:val="0"/>
          <w:marTop w:val="0"/>
          <w:marBottom w:val="0"/>
          <w:divBdr>
            <w:top w:val="none" w:sz="0" w:space="0" w:color="auto"/>
            <w:left w:val="none" w:sz="0" w:space="0" w:color="auto"/>
            <w:bottom w:val="none" w:sz="0" w:space="0" w:color="auto"/>
            <w:right w:val="none" w:sz="0" w:space="0" w:color="auto"/>
          </w:divBdr>
        </w:div>
      </w:divsChild>
    </w:div>
    <w:div w:id="1775054618">
      <w:bodyDiv w:val="1"/>
      <w:marLeft w:val="0"/>
      <w:marRight w:val="0"/>
      <w:marTop w:val="0"/>
      <w:marBottom w:val="0"/>
      <w:divBdr>
        <w:top w:val="none" w:sz="0" w:space="0" w:color="auto"/>
        <w:left w:val="none" w:sz="0" w:space="0" w:color="auto"/>
        <w:bottom w:val="none" w:sz="0" w:space="0" w:color="auto"/>
        <w:right w:val="none" w:sz="0" w:space="0" w:color="auto"/>
      </w:divBdr>
    </w:div>
    <w:div w:id="1797094370">
      <w:bodyDiv w:val="1"/>
      <w:marLeft w:val="0"/>
      <w:marRight w:val="0"/>
      <w:marTop w:val="0"/>
      <w:marBottom w:val="0"/>
      <w:divBdr>
        <w:top w:val="none" w:sz="0" w:space="0" w:color="auto"/>
        <w:left w:val="none" w:sz="0" w:space="0" w:color="auto"/>
        <w:bottom w:val="none" w:sz="0" w:space="0" w:color="auto"/>
        <w:right w:val="none" w:sz="0" w:space="0" w:color="auto"/>
      </w:divBdr>
    </w:div>
    <w:div w:id="1816531892">
      <w:bodyDiv w:val="1"/>
      <w:marLeft w:val="0"/>
      <w:marRight w:val="0"/>
      <w:marTop w:val="0"/>
      <w:marBottom w:val="0"/>
      <w:divBdr>
        <w:top w:val="none" w:sz="0" w:space="0" w:color="auto"/>
        <w:left w:val="none" w:sz="0" w:space="0" w:color="auto"/>
        <w:bottom w:val="none" w:sz="0" w:space="0" w:color="auto"/>
        <w:right w:val="none" w:sz="0" w:space="0" w:color="auto"/>
      </w:divBdr>
    </w:div>
    <w:div w:id="1826622063">
      <w:bodyDiv w:val="1"/>
      <w:marLeft w:val="0"/>
      <w:marRight w:val="0"/>
      <w:marTop w:val="0"/>
      <w:marBottom w:val="0"/>
      <w:divBdr>
        <w:top w:val="none" w:sz="0" w:space="0" w:color="auto"/>
        <w:left w:val="none" w:sz="0" w:space="0" w:color="auto"/>
        <w:bottom w:val="none" w:sz="0" w:space="0" w:color="auto"/>
        <w:right w:val="none" w:sz="0" w:space="0" w:color="auto"/>
      </w:divBdr>
      <w:divsChild>
        <w:div w:id="1894195121">
          <w:marLeft w:val="0"/>
          <w:marRight w:val="0"/>
          <w:marTop w:val="0"/>
          <w:marBottom w:val="0"/>
          <w:divBdr>
            <w:top w:val="none" w:sz="0" w:space="0" w:color="auto"/>
            <w:left w:val="none" w:sz="0" w:space="0" w:color="auto"/>
            <w:bottom w:val="none" w:sz="0" w:space="0" w:color="auto"/>
            <w:right w:val="none" w:sz="0" w:space="0" w:color="auto"/>
          </w:divBdr>
          <w:divsChild>
            <w:div w:id="1448163495">
              <w:marLeft w:val="0"/>
              <w:marRight w:val="0"/>
              <w:marTop w:val="0"/>
              <w:marBottom w:val="0"/>
              <w:divBdr>
                <w:top w:val="none" w:sz="0" w:space="0" w:color="auto"/>
                <w:left w:val="none" w:sz="0" w:space="0" w:color="auto"/>
                <w:bottom w:val="none" w:sz="0" w:space="0" w:color="auto"/>
                <w:right w:val="none" w:sz="0" w:space="0" w:color="auto"/>
              </w:divBdr>
              <w:divsChild>
                <w:div w:id="805128670">
                  <w:marLeft w:val="0"/>
                  <w:marRight w:val="0"/>
                  <w:marTop w:val="0"/>
                  <w:marBottom w:val="0"/>
                  <w:divBdr>
                    <w:top w:val="none" w:sz="0" w:space="0" w:color="auto"/>
                    <w:left w:val="none" w:sz="0" w:space="0" w:color="auto"/>
                    <w:bottom w:val="none" w:sz="0" w:space="0" w:color="auto"/>
                    <w:right w:val="none" w:sz="0" w:space="0" w:color="auto"/>
                  </w:divBdr>
                  <w:divsChild>
                    <w:div w:id="86417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1967640">
      <w:bodyDiv w:val="1"/>
      <w:marLeft w:val="0"/>
      <w:marRight w:val="0"/>
      <w:marTop w:val="0"/>
      <w:marBottom w:val="0"/>
      <w:divBdr>
        <w:top w:val="none" w:sz="0" w:space="0" w:color="auto"/>
        <w:left w:val="none" w:sz="0" w:space="0" w:color="auto"/>
        <w:bottom w:val="none" w:sz="0" w:space="0" w:color="auto"/>
        <w:right w:val="none" w:sz="0" w:space="0" w:color="auto"/>
      </w:divBdr>
    </w:div>
    <w:div w:id="1852063925">
      <w:bodyDiv w:val="1"/>
      <w:marLeft w:val="0"/>
      <w:marRight w:val="0"/>
      <w:marTop w:val="0"/>
      <w:marBottom w:val="0"/>
      <w:divBdr>
        <w:top w:val="none" w:sz="0" w:space="0" w:color="auto"/>
        <w:left w:val="none" w:sz="0" w:space="0" w:color="auto"/>
        <w:bottom w:val="none" w:sz="0" w:space="0" w:color="auto"/>
        <w:right w:val="none" w:sz="0" w:space="0" w:color="auto"/>
      </w:divBdr>
    </w:div>
    <w:div w:id="1852138178">
      <w:bodyDiv w:val="1"/>
      <w:marLeft w:val="0"/>
      <w:marRight w:val="0"/>
      <w:marTop w:val="0"/>
      <w:marBottom w:val="0"/>
      <w:divBdr>
        <w:top w:val="none" w:sz="0" w:space="0" w:color="auto"/>
        <w:left w:val="none" w:sz="0" w:space="0" w:color="auto"/>
        <w:bottom w:val="none" w:sz="0" w:space="0" w:color="auto"/>
        <w:right w:val="none" w:sz="0" w:space="0" w:color="auto"/>
      </w:divBdr>
    </w:div>
    <w:div w:id="1854687265">
      <w:bodyDiv w:val="1"/>
      <w:marLeft w:val="0"/>
      <w:marRight w:val="0"/>
      <w:marTop w:val="0"/>
      <w:marBottom w:val="0"/>
      <w:divBdr>
        <w:top w:val="none" w:sz="0" w:space="0" w:color="auto"/>
        <w:left w:val="none" w:sz="0" w:space="0" w:color="auto"/>
        <w:bottom w:val="none" w:sz="0" w:space="0" w:color="auto"/>
        <w:right w:val="none" w:sz="0" w:space="0" w:color="auto"/>
      </w:divBdr>
    </w:div>
    <w:div w:id="1870871118">
      <w:bodyDiv w:val="1"/>
      <w:marLeft w:val="0"/>
      <w:marRight w:val="0"/>
      <w:marTop w:val="0"/>
      <w:marBottom w:val="0"/>
      <w:divBdr>
        <w:top w:val="none" w:sz="0" w:space="0" w:color="auto"/>
        <w:left w:val="none" w:sz="0" w:space="0" w:color="auto"/>
        <w:bottom w:val="none" w:sz="0" w:space="0" w:color="auto"/>
        <w:right w:val="none" w:sz="0" w:space="0" w:color="auto"/>
      </w:divBdr>
      <w:divsChild>
        <w:div w:id="1217164039">
          <w:marLeft w:val="0"/>
          <w:marRight w:val="0"/>
          <w:marTop w:val="0"/>
          <w:marBottom w:val="0"/>
          <w:divBdr>
            <w:top w:val="none" w:sz="0" w:space="0" w:color="auto"/>
            <w:left w:val="none" w:sz="0" w:space="0" w:color="auto"/>
            <w:bottom w:val="none" w:sz="0" w:space="0" w:color="auto"/>
            <w:right w:val="none" w:sz="0" w:space="0" w:color="auto"/>
          </w:divBdr>
          <w:divsChild>
            <w:div w:id="1637565987">
              <w:marLeft w:val="0"/>
              <w:marRight w:val="0"/>
              <w:marTop w:val="0"/>
              <w:marBottom w:val="0"/>
              <w:divBdr>
                <w:top w:val="none" w:sz="0" w:space="0" w:color="auto"/>
                <w:left w:val="none" w:sz="0" w:space="0" w:color="auto"/>
                <w:bottom w:val="none" w:sz="0" w:space="0" w:color="auto"/>
                <w:right w:val="none" w:sz="0" w:space="0" w:color="auto"/>
              </w:divBdr>
              <w:divsChild>
                <w:div w:id="77294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371350">
      <w:bodyDiv w:val="1"/>
      <w:marLeft w:val="0"/>
      <w:marRight w:val="0"/>
      <w:marTop w:val="0"/>
      <w:marBottom w:val="0"/>
      <w:divBdr>
        <w:top w:val="none" w:sz="0" w:space="0" w:color="auto"/>
        <w:left w:val="none" w:sz="0" w:space="0" w:color="auto"/>
        <w:bottom w:val="none" w:sz="0" w:space="0" w:color="auto"/>
        <w:right w:val="none" w:sz="0" w:space="0" w:color="auto"/>
      </w:divBdr>
    </w:div>
    <w:div w:id="1900166087">
      <w:bodyDiv w:val="1"/>
      <w:marLeft w:val="0"/>
      <w:marRight w:val="0"/>
      <w:marTop w:val="0"/>
      <w:marBottom w:val="0"/>
      <w:divBdr>
        <w:top w:val="none" w:sz="0" w:space="0" w:color="auto"/>
        <w:left w:val="none" w:sz="0" w:space="0" w:color="auto"/>
        <w:bottom w:val="none" w:sz="0" w:space="0" w:color="auto"/>
        <w:right w:val="none" w:sz="0" w:space="0" w:color="auto"/>
      </w:divBdr>
    </w:div>
    <w:div w:id="1924803175">
      <w:bodyDiv w:val="1"/>
      <w:marLeft w:val="0"/>
      <w:marRight w:val="0"/>
      <w:marTop w:val="0"/>
      <w:marBottom w:val="0"/>
      <w:divBdr>
        <w:top w:val="none" w:sz="0" w:space="0" w:color="auto"/>
        <w:left w:val="none" w:sz="0" w:space="0" w:color="auto"/>
        <w:bottom w:val="none" w:sz="0" w:space="0" w:color="auto"/>
        <w:right w:val="none" w:sz="0" w:space="0" w:color="auto"/>
      </w:divBdr>
      <w:divsChild>
        <w:div w:id="1988589749">
          <w:marLeft w:val="0"/>
          <w:marRight w:val="0"/>
          <w:marTop w:val="0"/>
          <w:marBottom w:val="0"/>
          <w:divBdr>
            <w:top w:val="none" w:sz="0" w:space="0" w:color="auto"/>
            <w:left w:val="none" w:sz="0" w:space="0" w:color="auto"/>
            <w:bottom w:val="none" w:sz="0" w:space="0" w:color="auto"/>
            <w:right w:val="none" w:sz="0" w:space="0" w:color="auto"/>
          </w:divBdr>
          <w:divsChild>
            <w:div w:id="1327516190">
              <w:marLeft w:val="0"/>
              <w:marRight w:val="0"/>
              <w:marTop w:val="0"/>
              <w:marBottom w:val="0"/>
              <w:divBdr>
                <w:top w:val="none" w:sz="0" w:space="0" w:color="auto"/>
                <w:left w:val="none" w:sz="0" w:space="0" w:color="auto"/>
                <w:bottom w:val="none" w:sz="0" w:space="0" w:color="auto"/>
                <w:right w:val="none" w:sz="0" w:space="0" w:color="auto"/>
              </w:divBdr>
              <w:divsChild>
                <w:div w:id="50452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181881">
      <w:bodyDiv w:val="1"/>
      <w:marLeft w:val="0"/>
      <w:marRight w:val="0"/>
      <w:marTop w:val="0"/>
      <w:marBottom w:val="0"/>
      <w:divBdr>
        <w:top w:val="none" w:sz="0" w:space="0" w:color="auto"/>
        <w:left w:val="none" w:sz="0" w:space="0" w:color="auto"/>
        <w:bottom w:val="none" w:sz="0" w:space="0" w:color="auto"/>
        <w:right w:val="none" w:sz="0" w:space="0" w:color="auto"/>
      </w:divBdr>
    </w:div>
    <w:div w:id="1938899989">
      <w:bodyDiv w:val="1"/>
      <w:marLeft w:val="0"/>
      <w:marRight w:val="0"/>
      <w:marTop w:val="0"/>
      <w:marBottom w:val="0"/>
      <w:divBdr>
        <w:top w:val="none" w:sz="0" w:space="0" w:color="auto"/>
        <w:left w:val="none" w:sz="0" w:space="0" w:color="auto"/>
        <w:bottom w:val="none" w:sz="0" w:space="0" w:color="auto"/>
        <w:right w:val="none" w:sz="0" w:space="0" w:color="auto"/>
      </w:divBdr>
    </w:div>
    <w:div w:id="1941181011">
      <w:bodyDiv w:val="1"/>
      <w:marLeft w:val="0"/>
      <w:marRight w:val="0"/>
      <w:marTop w:val="0"/>
      <w:marBottom w:val="0"/>
      <w:divBdr>
        <w:top w:val="none" w:sz="0" w:space="0" w:color="auto"/>
        <w:left w:val="none" w:sz="0" w:space="0" w:color="auto"/>
        <w:bottom w:val="none" w:sz="0" w:space="0" w:color="auto"/>
        <w:right w:val="none" w:sz="0" w:space="0" w:color="auto"/>
      </w:divBdr>
      <w:divsChild>
        <w:div w:id="674571283">
          <w:marLeft w:val="0"/>
          <w:marRight w:val="0"/>
          <w:marTop w:val="0"/>
          <w:marBottom w:val="0"/>
          <w:divBdr>
            <w:top w:val="none" w:sz="0" w:space="0" w:color="auto"/>
            <w:left w:val="none" w:sz="0" w:space="0" w:color="auto"/>
            <w:bottom w:val="none" w:sz="0" w:space="0" w:color="auto"/>
            <w:right w:val="none" w:sz="0" w:space="0" w:color="auto"/>
          </w:divBdr>
          <w:divsChild>
            <w:div w:id="1759863095">
              <w:marLeft w:val="0"/>
              <w:marRight w:val="0"/>
              <w:marTop w:val="0"/>
              <w:marBottom w:val="0"/>
              <w:divBdr>
                <w:top w:val="none" w:sz="0" w:space="0" w:color="auto"/>
                <w:left w:val="none" w:sz="0" w:space="0" w:color="auto"/>
                <w:bottom w:val="none" w:sz="0" w:space="0" w:color="auto"/>
                <w:right w:val="none" w:sz="0" w:space="0" w:color="auto"/>
              </w:divBdr>
              <w:divsChild>
                <w:div w:id="1652060984">
                  <w:marLeft w:val="0"/>
                  <w:marRight w:val="0"/>
                  <w:marTop w:val="0"/>
                  <w:marBottom w:val="0"/>
                  <w:divBdr>
                    <w:top w:val="none" w:sz="0" w:space="0" w:color="auto"/>
                    <w:left w:val="none" w:sz="0" w:space="0" w:color="auto"/>
                    <w:bottom w:val="none" w:sz="0" w:space="0" w:color="auto"/>
                    <w:right w:val="none" w:sz="0" w:space="0" w:color="auto"/>
                  </w:divBdr>
                  <w:divsChild>
                    <w:div w:id="86694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089747">
      <w:bodyDiv w:val="1"/>
      <w:marLeft w:val="0"/>
      <w:marRight w:val="0"/>
      <w:marTop w:val="0"/>
      <w:marBottom w:val="0"/>
      <w:divBdr>
        <w:top w:val="none" w:sz="0" w:space="0" w:color="auto"/>
        <w:left w:val="none" w:sz="0" w:space="0" w:color="auto"/>
        <w:bottom w:val="none" w:sz="0" w:space="0" w:color="auto"/>
        <w:right w:val="none" w:sz="0" w:space="0" w:color="auto"/>
      </w:divBdr>
      <w:divsChild>
        <w:div w:id="2052345107">
          <w:marLeft w:val="0"/>
          <w:marRight w:val="0"/>
          <w:marTop w:val="0"/>
          <w:marBottom w:val="0"/>
          <w:divBdr>
            <w:top w:val="none" w:sz="0" w:space="0" w:color="auto"/>
            <w:left w:val="none" w:sz="0" w:space="0" w:color="auto"/>
            <w:bottom w:val="none" w:sz="0" w:space="0" w:color="auto"/>
            <w:right w:val="none" w:sz="0" w:space="0" w:color="auto"/>
          </w:divBdr>
          <w:divsChild>
            <w:div w:id="1534027790">
              <w:marLeft w:val="0"/>
              <w:marRight w:val="0"/>
              <w:marTop w:val="0"/>
              <w:marBottom w:val="0"/>
              <w:divBdr>
                <w:top w:val="none" w:sz="0" w:space="0" w:color="auto"/>
                <w:left w:val="none" w:sz="0" w:space="0" w:color="auto"/>
                <w:bottom w:val="none" w:sz="0" w:space="0" w:color="auto"/>
                <w:right w:val="none" w:sz="0" w:space="0" w:color="auto"/>
              </w:divBdr>
              <w:divsChild>
                <w:div w:id="94203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054012">
      <w:bodyDiv w:val="1"/>
      <w:marLeft w:val="0"/>
      <w:marRight w:val="0"/>
      <w:marTop w:val="0"/>
      <w:marBottom w:val="0"/>
      <w:divBdr>
        <w:top w:val="none" w:sz="0" w:space="0" w:color="auto"/>
        <w:left w:val="none" w:sz="0" w:space="0" w:color="auto"/>
        <w:bottom w:val="none" w:sz="0" w:space="0" w:color="auto"/>
        <w:right w:val="none" w:sz="0" w:space="0" w:color="auto"/>
      </w:divBdr>
      <w:divsChild>
        <w:div w:id="1535994100">
          <w:marLeft w:val="480"/>
          <w:marRight w:val="0"/>
          <w:marTop w:val="0"/>
          <w:marBottom w:val="0"/>
          <w:divBdr>
            <w:top w:val="none" w:sz="0" w:space="0" w:color="auto"/>
            <w:left w:val="none" w:sz="0" w:space="0" w:color="auto"/>
            <w:bottom w:val="none" w:sz="0" w:space="0" w:color="auto"/>
            <w:right w:val="none" w:sz="0" w:space="0" w:color="auto"/>
          </w:divBdr>
          <w:divsChild>
            <w:div w:id="31001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762815">
      <w:bodyDiv w:val="1"/>
      <w:marLeft w:val="0"/>
      <w:marRight w:val="0"/>
      <w:marTop w:val="0"/>
      <w:marBottom w:val="0"/>
      <w:divBdr>
        <w:top w:val="none" w:sz="0" w:space="0" w:color="auto"/>
        <w:left w:val="none" w:sz="0" w:space="0" w:color="auto"/>
        <w:bottom w:val="none" w:sz="0" w:space="0" w:color="auto"/>
        <w:right w:val="none" w:sz="0" w:space="0" w:color="auto"/>
      </w:divBdr>
      <w:divsChild>
        <w:div w:id="577058112">
          <w:marLeft w:val="0"/>
          <w:marRight w:val="0"/>
          <w:marTop w:val="0"/>
          <w:marBottom w:val="0"/>
          <w:divBdr>
            <w:top w:val="none" w:sz="0" w:space="0" w:color="auto"/>
            <w:left w:val="none" w:sz="0" w:space="0" w:color="auto"/>
            <w:bottom w:val="none" w:sz="0" w:space="0" w:color="auto"/>
            <w:right w:val="none" w:sz="0" w:space="0" w:color="auto"/>
          </w:divBdr>
        </w:div>
      </w:divsChild>
    </w:div>
    <w:div w:id="2003072937">
      <w:bodyDiv w:val="1"/>
      <w:marLeft w:val="0"/>
      <w:marRight w:val="0"/>
      <w:marTop w:val="0"/>
      <w:marBottom w:val="0"/>
      <w:divBdr>
        <w:top w:val="none" w:sz="0" w:space="0" w:color="auto"/>
        <w:left w:val="none" w:sz="0" w:space="0" w:color="auto"/>
        <w:bottom w:val="none" w:sz="0" w:space="0" w:color="auto"/>
        <w:right w:val="none" w:sz="0" w:space="0" w:color="auto"/>
      </w:divBdr>
      <w:divsChild>
        <w:div w:id="741636237">
          <w:marLeft w:val="0"/>
          <w:marRight w:val="0"/>
          <w:marTop w:val="0"/>
          <w:marBottom w:val="0"/>
          <w:divBdr>
            <w:top w:val="none" w:sz="0" w:space="0" w:color="auto"/>
            <w:left w:val="none" w:sz="0" w:space="0" w:color="auto"/>
            <w:bottom w:val="none" w:sz="0" w:space="0" w:color="auto"/>
            <w:right w:val="none" w:sz="0" w:space="0" w:color="auto"/>
          </w:divBdr>
          <w:divsChild>
            <w:div w:id="461581379">
              <w:marLeft w:val="0"/>
              <w:marRight w:val="0"/>
              <w:marTop w:val="0"/>
              <w:marBottom w:val="0"/>
              <w:divBdr>
                <w:top w:val="none" w:sz="0" w:space="0" w:color="auto"/>
                <w:left w:val="none" w:sz="0" w:space="0" w:color="auto"/>
                <w:bottom w:val="none" w:sz="0" w:space="0" w:color="auto"/>
                <w:right w:val="none" w:sz="0" w:space="0" w:color="auto"/>
              </w:divBdr>
              <w:divsChild>
                <w:div w:id="1173493205">
                  <w:marLeft w:val="0"/>
                  <w:marRight w:val="0"/>
                  <w:marTop w:val="0"/>
                  <w:marBottom w:val="0"/>
                  <w:divBdr>
                    <w:top w:val="none" w:sz="0" w:space="0" w:color="auto"/>
                    <w:left w:val="none" w:sz="0" w:space="0" w:color="auto"/>
                    <w:bottom w:val="none" w:sz="0" w:space="0" w:color="auto"/>
                    <w:right w:val="none" w:sz="0" w:space="0" w:color="auto"/>
                  </w:divBdr>
                  <w:divsChild>
                    <w:div w:id="131564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331533">
      <w:bodyDiv w:val="1"/>
      <w:marLeft w:val="0"/>
      <w:marRight w:val="0"/>
      <w:marTop w:val="0"/>
      <w:marBottom w:val="0"/>
      <w:divBdr>
        <w:top w:val="none" w:sz="0" w:space="0" w:color="auto"/>
        <w:left w:val="none" w:sz="0" w:space="0" w:color="auto"/>
        <w:bottom w:val="none" w:sz="0" w:space="0" w:color="auto"/>
        <w:right w:val="none" w:sz="0" w:space="0" w:color="auto"/>
      </w:divBdr>
    </w:div>
    <w:div w:id="2016419716">
      <w:bodyDiv w:val="1"/>
      <w:marLeft w:val="0"/>
      <w:marRight w:val="0"/>
      <w:marTop w:val="0"/>
      <w:marBottom w:val="0"/>
      <w:divBdr>
        <w:top w:val="none" w:sz="0" w:space="0" w:color="auto"/>
        <w:left w:val="none" w:sz="0" w:space="0" w:color="auto"/>
        <w:bottom w:val="none" w:sz="0" w:space="0" w:color="auto"/>
        <w:right w:val="none" w:sz="0" w:space="0" w:color="auto"/>
      </w:divBdr>
      <w:divsChild>
        <w:div w:id="1121997212">
          <w:marLeft w:val="0"/>
          <w:marRight w:val="0"/>
          <w:marTop w:val="0"/>
          <w:marBottom w:val="0"/>
          <w:divBdr>
            <w:top w:val="none" w:sz="0" w:space="0" w:color="auto"/>
            <w:left w:val="none" w:sz="0" w:space="0" w:color="auto"/>
            <w:bottom w:val="none" w:sz="0" w:space="0" w:color="auto"/>
            <w:right w:val="none" w:sz="0" w:space="0" w:color="auto"/>
          </w:divBdr>
          <w:divsChild>
            <w:div w:id="202133044">
              <w:marLeft w:val="0"/>
              <w:marRight w:val="0"/>
              <w:marTop w:val="0"/>
              <w:marBottom w:val="0"/>
              <w:divBdr>
                <w:top w:val="none" w:sz="0" w:space="0" w:color="auto"/>
                <w:left w:val="none" w:sz="0" w:space="0" w:color="auto"/>
                <w:bottom w:val="none" w:sz="0" w:space="0" w:color="auto"/>
                <w:right w:val="none" w:sz="0" w:space="0" w:color="auto"/>
              </w:divBdr>
              <w:divsChild>
                <w:div w:id="76788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70248">
      <w:bodyDiv w:val="1"/>
      <w:marLeft w:val="0"/>
      <w:marRight w:val="0"/>
      <w:marTop w:val="0"/>
      <w:marBottom w:val="0"/>
      <w:divBdr>
        <w:top w:val="none" w:sz="0" w:space="0" w:color="auto"/>
        <w:left w:val="none" w:sz="0" w:space="0" w:color="auto"/>
        <w:bottom w:val="none" w:sz="0" w:space="0" w:color="auto"/>
        <w:right w:val="none" w:sz="0" w:space="0" w:color="auto"/>
      </w:divBdr>
      <w:divsChild>
        <w:div w:id="232467022">
          <w:marLeft w:val="0"/>
          <w:marRight w:val="0"/>
          <w:marTop w:val="0"/>
          <w:marBottom w:val="0"/>
          <w:divBdr>
            <w:top w:val="none" w:sz="0" w:space="0" w:color="auto"/>
            <w:left w:val="none" w:sz="0" w:space="0" w:color="auto"/>
            <w:bottom w:val="none" w:sz="0" w:space="0" w:color="auto"/>
            <w:right w:val="none" w:sz="0" w:space="0" w:color="auto"/>
          </w:divBdr>
          <w:divsChild>
            <w:div w:id="695547421">
              <w:marLeft w:val="0"/>
              <w:marRight w:val="0"/>
              <w:marTop w:val="0"/>
              <w:marBottom w:val="0"/>
              <w:divBdr>
                <w:top w:val="none" w:sz="0" w:space="0" w:color="auto"/>
                <w:left w:val="none" w:sz="0" w:space="0" w:color="auto"/>
                <w:bottom w:val="none" w:sz="0" w:space="0" w:color="auto"/>
                <w:right w:val="none" w:sz="0" w:space="0" w:color="auto"/>
              </w:divBdr>
              <w:divsChild>
                <w:div w:id="183140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897889">
      <w:bodyDiv w:val="1"/>
      <w:marLeft w:val="0"/>
      <w:marRight w:val="0"/>
      <w:marTop w:val="0"/>
      <w:marBottom w:val="0"/>
      <w:divBdr>
        <w:top w:val="none" w:sz="0" w:space="0" w:color="auto"/>
        <w:left w:val="none" w:sz="0" w:space="0" w:color="auto"/>
        <w:bottom w:val="none" w:sz="0" w:space="0" w:color="auto"/>
        <w:right w:val="none" w:sz="0" w:space="0" w:color="auto"/>
      </w:divBdr>
    </w:div>
    <w:div w:id="2089233199">
      <w:bodyDiv w:val="1"/>
      <w:marLeft w:val="0"/>
      <w:marRight w:val="0"/>
      <w:marTop w:val="0"/>
      <w:marBottom w:val="0"/>
      <w:divBdr>
        <w:top w:val="none" w:sz="0" w:space="0" w:color="auto"/>
        <w:left w:val="none" w:sz="0" w:space="0" w:color="auto"/>
        <w:bottom w:val="none" w:sz="0" w:space="0" w:color="auto"/>
        <w:right w:val="none" w:sz="0" w:space="0" w:color="auto"/>
      </w:divBdr>
    </w:div>
    <w:div w:id="2090535598">
      <w:bodyDiv w:val="1"/>
      <w:marLeft w:val="0"/>
      <w:marRight w:val="0"/>
      <w:marTop w:val="0"/>
      <w:marBottom w:val="0"/>
      <w:divBdr>
        <w:top w:val="none" w:sz="0" w:space="0" w:color="auto"/>
        <w:left w:val="none" w:sz="0" w:space="0" w:color="auto"/>
        <w:bottom w:val="none" w:sz="0" w:space="0" w:color="auto"/>
        <w:right w:val="none" w:sz="0" w:space="0" w:color="auto"/>
      </w:divBdr>
    </w:div>
    <w:div w:id="2092579606">
      <w:bodyDiv w:val="1"/>
      <w:marLeft w:val="0"/>
      <w:marRight w:val="0"/>
      <w:marTop w:val="0"/>
      <w:marBottom w:val="0"/>
      <w:divBdr>
        <w:top w:val="none" w:sz="0" w:space="0" w:color="auto"/>
        <w:left w:val="none" w:sz="0" w:space="0" w:color="auto"/>
        <w:bottom w:val="none" w:sz="0" w:space="0" w:color="auto"/>
        <w:right w:val="none" w:sz="0" w:space="0" w:color="auto"/>
      </w:divBdr>
      <w:divsChild>
        <w:div w:id="178666009">
          <w:marLeft w:val="0"/>
          <w:marRight w:val="0"/>
          <w:marTop w:val="0"/>
          <w:marBottom w:val="0"/>
          <w:divBdr>
            <w:top w:val="none" w:sz="0" w:space="0" w:color="auto"/>
            <w:left w:val="none" w:sz="0" w:space="0" w:color="auto"/>
            <w:bottom w:val="none" w:sz="0" w:space="0" w:color="auto"/>
            <w:right w:val="none" w:sz="0" w:space="0" w:color="auto"/>
          </w:divBdr>
          <w:divsChild>
            <w:div w:id="1476602483">
              <w:marLeft w:val="0"/>
              <w:marRight w:val="0"/>
              <w:marTop w:val="0"/>
              <w:marBottom w:val="0"/>
              <w:divBdr>
                <w:top w:val="none" w:sz="0" w:space="0" w:color="auto"/>
                <w:left w:val="none" w:sz="0" w:space="0" w:color="auto"/>
                <w:bottom w:val="none" w:sz="0" w:space="0" w:color="auto"/>
                <w:right w:val="none" w:sz="0" w:space="0" w:color="auto"/>
              </w:divBdr>
              <w:divsChild>
                <w:div w:id="1332761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878642">
      <w:bodyDiv w:val="1"/>
      <w:marLeft w:val="0"/>
      <w:marRight w:val="0"/>
      <w:marTop w:val="0"/>
      <w:marBottom w:val="0"/>
      <w:divBdr>
        <w:top w:val="none" w:sz="0" w:space="0" w:color="auto"/>
        <w:left w:val="none" w:sz="0" w:space="0" w:color="auto"/>
        <w:bottom w:val="none" w:sz="0" w:space="0" w:color="auto"/>
        <w:right w:val="none" w:sz="0" w:space="0" w:color="auto"/>
      </w:divBdr>
    </w:div>
    <w:div w:id="2120760753">
      <w:bodyDiv w:val="1"/>
      <w:marLeft w:val="0"/>
      <w:marRight w:val="0"/>
      <w:marTop w:val="0"/>
      <w:marBottom w:val="0"/>
      <w:divBdr>
        <w:top w:val="none" w:sz="0" w:space="0" w:color="auto"/>
        <w:left w:val="none" w:sz="0" w:space="0" w:color="auto"/>
        <w:bottom w:val="none" w:sz="0" w:space="0" w:color="auto"/>
        <w:right w:val="none" w:sz="0" w:space="0" w:color="auto"/>
      </w:divBdr>
    </w:div>
    <w:div w:id="2127430712">
      <w:bodyDiv w:val="1"/>
      <w:marLeft w:val="0"/>
      <w:marRight w:val="0"/>
      <w:marTop w:val="0"/>
      <w:marBottom w:val="0"/>
      <w:divBdr>
        <w:top w:val="none" w:sz="0" w:space="0" w:color="auto"/>
        <w:left w:val="none" w:sz="0" w:space="0" w:color="auto"/>
        <w:bottom w:val="none" w:sz="0" w:space="0" w:color="auto"/>
        <w:right w:val="none" w:sz="0" w:space="0" w:color="auto"/>
      </w:divBdr>
    </w:div>
    <w:div w:id="2140416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CA815F70902D14D983128C3F784E965" ma:contentTypeVersion="12" ma:contentTypeDescription="Create a new document." ma:contentTypeScope="" ma:versionID="04d3bb108bd2539d4e861114b533b6ec">
  <xsd:schema xmlns:xsd="http://www.w3.org/2001/XMLSchema" xmlns:xs="http://www.w3.org/2001/XMLSchema" xmlns:p="http://schemas.microsoft.com/office/2006/metadata/properties" xmlns:ns2="bed278a3-8eae-49be-8484-328cf218dea5" xmlns:ns3="afb085c1-778b-4738-9b06-b1ddfc1253fb" targetNamespace="http://schemas.microsoft.com/office/2006/metadata/properties" ma:root="true" ma:fieldsID="4c888f6433857e7164bee6111ab0fcbf" ns2:_="" ns3:_="">
    <xsd:import namespace="bed278a3-8eae-49be-8484-328cf218dea5"/>
    <xsd:import namespace="afb085c1-778b-4738-9b06-b1ddfc1253f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278a3-8eae-49be-8484-328cf218de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298649d-1c38-4b54-beca-cc73de598aa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b085c1-778b-4738-9b06-b1ddfc1253f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531d85-fbc5-4735-9245-ccfb4809fe51}" ma:internalName="TaxCatchAll" ma:showField="CatchAllData" ma:web="afb085c1-778b-4738-9b06-b1ddfc1253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ed278a3-8eae-49be-8484-328cf218dea5">
      <Terms xmlns="http://schemas.microsoft.com/office/infopath/2007/PartnerControls"/>
    </lcf76f155ced4ddcb4097134ff3c332f>
    <TaxCatchAll xmlns="afb085c1-778b-4738-9b06-b1ddfc1253fb" xsi:nil="true"/>
  </documentManagement>
</p:properties>
</file>

<file path=customXml/itemProps1.xml><?xml version="1.0" encoding="utf-8"?>
<ds:datastoreItem xmlns:ds="http://schemas.openxmlformats.org/officeDocument/2006/customXml" ds:itemID="{3BFE5F06-335A-46DB-A07B-7A7995DEA44E}">
  <ds:schemaRefs>
    <ds:schemaRef ds:uri="http://schemas.openxmlformats.org/officeDocument/2006/bibliography"/>
  </ds:schemaRefs>
</ds:datastoreItem>
</file>

<file path=customXml/itemProps2.xml><?xml version="1.0" encoding="utf-8"?>
<ds:datastoreItem xmlns:ds="http://schemas.openxmlformats.org/officeDocument/2006/customXml" ds:itemID="{4A9A8424-3712-4C7A-89FB-7A90021743D3}"/>
</file>

<file path=customXml/itemProps3.xml><?xml version="1.0" encoding="utf-8"?>
<ds:datastoreItem xmlns:ds="http://schemas.openxmlformats.org/officeDocument/2006/customXml" ds:itemID="{F9241B51-326C-4263-A69B-475C44BD5202}"/>
</file>

<file path=customXml/itemProps4.xml><?xml version="1.0" encoding="utf-8"?>
<ds:datastoreItem xmlns:ds="http://schemas.openxmlformats.org/officeDocument/2006/customXml" ds:itemID="{88E7B9D5-617C-4C25-B833-4C75A5BDBB27}"/>
</file>

<file path=docProps/app.xml><?xml version="1.0" encoding="utf-8"?>
<Properties xmlns="http://schemas.openxmlformats.org/officeDocument/2006/extended-properties" xmlns:vt="http://schemas.openxmlformats.org/officeDocument/2006/docPropsVTypes">
  <Template>Normal.dotm</Template>
  <TotalTime>17</TotalTime>
  <Pages>29</Pages>
  <Words>31999</Words>
  <Characters>182400</Characters>
  <Application>Microsoft Office Word</Application>
  <DocSecurity>0</DocSecurity>
  <Lines>1520</Lines>
  <Paragraphs>427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Bevan Craig</dc:creator>
  <cp:keywords/>
  <dc:description/>
  <cp:lastModifiedBy>Avondale Library - Loans Desk</cp:lastModifiedBy>
  <cp:revision>2</cp:revision>
  <cp:lastPrinted>2019-03-24T11:42:00Z</cp:lastPrinted>
  <dcterms:created xsi:type="dcterms:W3CDTF">2021-05-18T23:13:00Z</dcterms:created>
  <dcterms:modified xsi:type="dcterms:W3CDTF">2021-05-18T23:13:00Z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zotero-version="5.0.73"&gt;&lt;session id="0LLtl3bj"/&gt;&lt;style id="http://www.zotero.org/styles/apa" locale="en-GB" hasBibliography="1" bibliographyStyleHasBeenSet="1"/&gt;&lt;prefs&gt;&lt;pref name="fieldType" value="Field"/&gt;&lt;pref name="automaticJourn</vt:lpwstr>
  </property>
  <property fmtid="{D5CDD505-2E9C-101B-9397-08002B2CF9AE}" pid="3" name="ZOTERO_PREF_2">
    <vt:lpwstr>alAbbreviations" value="true"/&gt;&lt;pref name="dontAskDelayCitationUpdates" value="true"/&gt;&lt;/prefs&gt;&lt;/data&gt;</vt:lpwstr>
  </property>
  <property fmtid="{D5CDD505-2E9C-101B-9397-08002B2CF9AE}" pid="4" name="ContentTypeId">
    <vt:lpwstr>0x010100ECA815F70902D14D983128C3F784E965</vt:lpwstr>
  </property>
</Properties>
</file>